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E76BA">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黑体" w:eastAsia="黑体"/>
          <w:b/>
          <w:sz w:val="48"/>
          <w:szCs w:val="48"/>
          <w:highlight w:val="none"/>
        </w:rPr>
      </w:pPr>
      <w:bookmarkStart w:id="0" w:name="_Toc27712"/>
      <w:bookmarkStart w:id="1" w:name="_Hlk104273075"/>
      <w:r>
        <w:rPr>
          <w:rFonts w:hint="eastAsia" w:ascii="黑体" w:eastAsia="黑体"/>
          <w:b/>
          <w:sz w:val="48"/>
          <w:szCs w:val="48"/>
          <w:highlight w:val="none"/>
        </w:rPr>
        <w:t>陕西丰汇韵嘉会计师事务所</w:t>
      </w:r>
      <w:bookmarkEnd w:id="0"/>
    </w:p>
    <w:p w14:paraId="1B8D42F5">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黑体" w:eastAsia="黑体"/>
          <w:b/>
          <w:sz w:val="48"/>
          <w:szCs w:val="48"/>
          <w:highlight w:val="none"/>
        </w:rPr>
      </w:pPr>
      <w:bookmarkStart w:id="2" w:name="_Toc25952"/>
      <w:r>
        <w:rPr>
          <w:rFonts w:hint="eastAsia" w:ascii="黑体" w:eastAsia="黑体"/>
          <w:b/>
          <w:sz w:val="48"/>
          <w:szCs w:val="48"/>
          <w:highlight w:val="none"/>
        </w:rPr>
        <w:t>合伙企业（普通合伙）</w:t>
      </w:r>
      <w:bookmarkEnd w:id="2"/>
    </w:p>
    <w:bookmarkEnd w:id="1"/>
    <w:p w14:paraId="0F8FB98E">
      <w:pPr>
        <w:keepNext w:val="0"/>
        <w:keepLines w:val="0"/>
        <w:pageBreakBefore w:val="0"/>
        <w:widowControl w:val="0"/>
        <w:pBdr>
          <w:bottom w:val="single" w:color="auto" w:sz="6" w:space="1"/>
        </w:pBdr>
        <w:kinsoku/>
        <w:wordWrap/>
        <w:overflowPunct/>
        <w:topLinePunct w:val="0"/>
        <w:autoSpaceDE/>
        <w:autoSpaceDN/>
        <w:bidi w:val="0"/>
        <w:adjustRightInd/>
        <w:snapToGrid/>
        <w:jc w:val="center"/>
        <w:textAlignment w:val="auto"/>
        <w:outlineLvl w:val="9"/>
        <w:rPr>
          <w:rFonts w:hint="eastAsia" w:ascii="宋体" w:hAnsi="宋体"/>
          <w:b/>
          <w:highlight w:val="none"/>
        </w:rPr>
      </w:pPr>
    </w:p>
    <w:p w14:paraId="2B3F5770">
      <w:pPr>
        <w:keepNext w:val="0"/>
        <w:keepLines w:val="0"/>
        <w:pageBreakBefore w:val="0"/>
        <w:widowControl w:val="0"/>
        <w:pBdr>
          <w:bottom w:val="single" w:color="auto" w:sz="6" w:space="1"/>
        </w:pBdr>
        <w:kinsoku/>
        <w:wordWrap/>
        <w:overflowPunct/>
        <w:topLinePunct w:val="0"/>
        <w:autoSpaceDE/>
        <w:autoSpaceDN/>
        <w:bidi w:val="0"/>
        <w:adjustRightInd/>
        <w:snapToGrid/>
        <w:spacing w:line="600" w:lineRule="exact"/>
        <w:jc w:val="center"/>
        <w:textAlignment w:val="auto"/>
        <w:outlineLvl w:val="9"/>
        <w:rPr>
          <w:rFonts w:hint="eastAsia" w:ascii="宋体" w:hAnsi="宋体" w:cs="宋体"/>
          <w:b/>
          <w:sz w:val="24"/>
          <w:highlight w:val="none"/>
        </w:rPr>
      </w:pPr>
      <w:r>
        <w:rPr>
          <w:rFonts w:hint="eastAsia" w:ascii="仿宋" w:hAnsi="仿宋" w:eastAsia="仿宋" w:cs="仿宋"/>
          <w:b/>
          <w:sz w:val="32"/>
          <w:szCs w:val="32"/>
          <w:highlight w:val="none"/>
        </w:rPr>
        <w:t>陕西丰汇</w:t>
      </w:r>
      <w:r>
        <w:rPr>
          <w:rFonts w:hint="eastAsia" w:ascii="仿宋" w:hAnsi="仿宋" w:eastAsia="仿宋" w:cs="仿宋"/>
          <w:b/>
          <w:sz w:val="32"/>
          <w:szCs w:val="32"/>
          <w:highlight w:val="none"/>
          <w:lang w:val="en-US" w:eastAsia="zh-CN"/>
        </w:rPr>
        <w:t>咨</w:t>
      </w:r>
      <w:r>
        <w:rPr>
          <w:rFonts w:hint="eastAsia" w:ascii="仿宋" w:hAnsi="仿宋" w:eastAsia="仿宋" w:cs="仿宋"/>
          <w:b/>
          <w:sz w:val="32"/>
          <w:szCs w:val="32"/>
          <w:highlight w:val="none"/>
        </w:rPr>
        <w:t>字〔2024〕第</w:t>
      </w:r>
      <w:r>
        <w:rPr>
          <w:rFonts w:hint="eastAsia" w:ascii="仿宋" w:hAnsi="仿宋" w:eastAsia="仿宋" w:cs="仿宋"/>
          <w:b/>
          <w:sz w:val="32"/>
          <w:szCs w:val="32"/>
          <w:highlight w:val="none"/>
          <w:lang w:val="en-US" w:eastAsia="zh-CN"/>
        </w:rPr>
        <w:t>149</w:t>
      </w:r>
      <w:r>
        <w:rPr>
          <w:rFonts w:hint="eastAsia" w:ascii="仿宋" w:hAnsi="仿宋" w:eastAsia="仿宋" w:cs="仿宋"/>
          <w:b/>
          <w:sz w:val="32"/>
          <w:szCs w:val="32"/>
          <w:highlight w:val="none"/>
        </w:rPr>
        <w:t>号</w:t>
      </w:r>
    </w:p>
    <w:p w14:paraId="6CA4E28F">
      <w:pPr>
        <w:keepNext w:val="0"/>
        <w:keepLines w:val="0"/>
        <w:pageBreakBefore w:val="0"/>
        <w:widowControl w:val="0"/>
        <w:tabs>
          <w:tab w:val="left" w:pos="0"/>
        </w:tabs>
        <w:kinsoku/>
        <w:wordWrap/>
        <w:overflowPunct/>
        <w:topLinePunct w:val="0"/>
        <w:autoSpaceDE/>
        <w:autoSpaceDN/>
        <w:bidi w:val="0"/>
        <w:adjustRightInd/>
        <w:snapToGrid/>
        <w:spacing w:line="360" w:lineRule="auto"/>
        <w:jc w:val="center"/>
        <w:textAlignment w:val="auto"/>
        <w:outlineLvl w:val="9"/>
        <w:rPr>
          <w:rFonts w:hint="eastAsia" w:ascii="黑体" w:eastAsia="黑体"/>
          <w:b/>
          <w:sz w:val="32"/>
          <w:szCs w:val="32"/>
          <w:highlight w:val="none"/>
        </w:rPr>
      </w:pPr>
    </w:p>
    <w:p w14:paraId="5FDFFE40">
      <w:pPr>
        <w:keepNext w:val="0"/>
        <w:keepLines w:val="0"/>
        <w:pageBreakBefore w:val="0"/>
        <w:widowControl w:val="0"/>
        <w:tabs>
          <w:tab w:val="left" w:pos="0"/>
        </w:tabs>
        <w:kinsoku/>
        <w:wordWrap/>
        <w:overflowPunct/>
        <w:topLinePunct w:val="0"/>
        <w:autoSpaceDE/>
        <w:autoSpaceDN/>
        <w:bidi w:val="0"/>
        <w:adjustRightInd/>
        <w:snapToGrid/>
        <w:spacing w:line="360" w:lineRule="auto"/>
        <w:jc w:val="center"/>
        <w:textAlignment w:val="auto"/>
        <w:outlineLvl w:val="9"/>
        <w:rPr>
          <w:rFonts w:hint="eastAsia" w:ascii="黑体" w:eastAsia="黑体"/>
          <w:b/>
          <w:sz w:val="32"/>
          <w:szCs w:val="32"/>
          <w:highlight w:val="none"/>
        </w:rPr>
      </w:pPr>
    </w:p>
    <w:p w14:paraId="63FD6B2B">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bCs/>
          <w:sz w:val="36"/>
          <w:szCs w:val="36"/>
          <w:highlight w:val="none"/>
          <w:lang w:val="en-US" w:eastAsia="zh-CN" w:bidi="ar"/>
        </w:rPr>
      </w:pPr>
      <w:r>
        <w:rPr>
          <w:rFonts w:hint="eastAsia" w:ascii="仿宋" w:hAnsi="仿宋" w:eastAsia="仿宋" w:cs="仿宋"/>
          <w:b/>
          <w:bCs/>
          <w:sz w:val="36"/>
          <w:szCs w:val="36"/>
          <w:highlight w:val="none"/>
          <w:lang w:val="en-US" w:eastAsia="zh-CN" w:bidi="ar"/>
        </w:rPr>
        <w:t>林芝市消防救援支队</w:t>
      </w:r>
    </w:p>
    <w:p w14:paraId="50CBE87D">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bCs/>
          <w:spacing w:val="113"/>
          <w:sz w:val="36"/>
          <w:szCs w:val="36"/>
          <w:highlight w:val="none"/>
        </w:rPr>
      </w:pPr>
      <w:r>
        <w:rPr>
          <w:rFonts w:hint="eastAsia" w:ascii="仿宋" w:hAnsi="仿宋" w:eastAsia="仿宋" w:cs="仿宋"/>
          <w:b/>
          <w:bCs/>
          <w:sz w:val="36"/>
          <w:szCs w:val="36"/>
          <w:highlight w:val="none"/>
          <w:lang w:bidi="ar"/>
        </w:rPr>
        <w:t>2023年度部门整体支出绩效评价报告</w:t>
      </w:r>
    </w:p>
    <w:p w14:paraId="63B9EAFE">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cs="宋体"/>
          <w:b/>
          <w:bCs/>
          <w:spacing w:val="85"/>
          <w:sz w:val="28"/>
          <w:szCs w:val="28"/>
          <w:highlight w:val="none"/>
        </w:rPr>
      </w:pPr>
      <w:r>
        <w:rPr>
          <w:rFonts w:hint="eastAsia" w:ascii="宋体" w:hAnsi="宋体" w:cs="宋体"/>
          <w:b/>
          <w:bCs/>
          <w:spacing w:val="85"/>
          <w:sz w:val="28"/>
          <w:szCs w:val="28"/>
          <w:highlight w:val="none"/>
          <w:lang w:bidi="ar"/>
        </w:rPr>
        <w:t xml:space="preserve"> </w:t>
      </w:r>
    </w:p>
    <w:p w14:paraId="7F21D395">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cs="宋体"/>
          <w:spacing w:val="85"/>
          <w:sz w:val="24"/>
          <w:highlight w:val="none"/>
        </w:rPr>
      </w:pPr>
      <w:r>
        <w:rPr>
          <w:rFonts w:hint="eastAsia" w:ascii="宋体" w:hAnsi="宋体" w:cs="宋体"/>
          <w:spacing w:val="85"/>
          <w:sz w:val="24"/>
          <w:highlight w:val="none"/>
          <w:lang w:bidi="ar"/>
        </w:rPr>
        <w:t xml:space="preserve"> </w:t>
      </w:r>
    </w:p>
    <w:p w14:paraId="33602DB1">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val="en-US" w:eastAsia="zh-CN" w:bidi="ar"/>
        </w:rPr>
      </w:pPr>
    </w:p>
    <w:p w14:paraId="2FF56280">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val="en-US" w:eastAsia="zh-CN" w:bidi="ar"/>
        </w:rPr>
      </w:pPr>
    </w:p>
    <w:p w14:paraId="3322EB93">
      <w:pPr>
        <w:keepNext w:val="0"/>
        <w:keepLines w:val="0"/>
        <w:pageBreakBefore w:val="0"/>
        <w:widowControl w:val="0"/>
        <w:kinsoku/>
        <w:wordWrap/>
        <w:overflowPunct/>
        <w:topLinePunct w:val="0"/>
        <w:autoSpaceDE/>
        <w:autoSpaceDN/>
        <w:bidi w:val="0"/>
        <w:adjustRightInd/>
        <w:snapToGrid/>
        <w:jc w:val="left"/>
        <w:textAlignment w:val="auto"/>
        <w:outlineLvl w:val="9"/>
        <w:rPr>
          <w:rFonts w:hint="default" w:ascii="宋体" w:hAnsi="宋体" w:cs="宋体"/>
          <w:sz w:val="24"/>
          <w:highlight w:val="none"/>
          <w:lang w:val="en-US" w:eastAsia="zh-CN" w:bidi="ar"/>
        </w:rPr>
      </w:pPr>
    </w:p>
    <w:p w14:paraId="5A8E8CDF">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bidi="ar"/>
        </w:rPr>
      </w:pPr>
      <w:r>
        <w:rPr>
          <w:rFonts w:hint="eastAsia" w:ascii="宋体" w:hAnsi="宋体" w:cs="宋体"/>
          <w:sz w:val="24"/>
          <w:highlight w:val="none"/>
          <w:lang w:bidi="ar"/>
        </w:rPr>
        <w:t xml:space="preserve"> </w:t>
      </w:r>
    </w:p>
    <w:p w14:paraId="1620EAD2">
      <w:pPr>
        <w:keepNext w:val="0"/>
        <w:keepLines w:val="0"/>
        <w:pageBreakBefore w:val="0"/>
        <w:widowControl w:val="0"/>
        <w:kinsoku/>
        <w:wordWrap/>
        <w:overflowPunct/>
        <w:topLinePunct w:val="0"/>
        <w:autoSpaceDE/>
        <w:autoSpaceDN/>
        <w:bidi w:val="0"/>
        <w:adjustRightInd/>
        <w:snapToGrid/>
        <w:ind w:firstLine="1200" w:firstLineChars="500"/>
        <w:jc w:val="left"/>
        <w:textAlignment w:val="auto"/>
        <w:outlineLvl w:val="9"/>
        <w:rPr>
          <w:rFonts w:hint="eastAsia" w:ascii="宋体" w:hAnsi="宋体" w:cs="宋体"/>
          <w:sz w:val="24"/>
          <w:highlight w:val="none"/>
          <w:lang w:val="en-US" w:eastAsia="zh-CN" w:bidi="ar"/>
        </w:rPr>
      </w:pPr>
      <w:r>
        <w:rPr>
          <w:rFonts w:hint="eastAsia" w:ascii="宋体" w:hAnsi="宋体" w:cs="宋体"/>
          <w:sz w:val="24"/>
          <w:highlight w:val="none"/>
          <w:lang w:val="en-US" w:eastAsia="zh-CN" w:bidi="ar"/>
        </w:rPr>
        <w:t>委托单位</w:t>
      </w:r>
      <w:r>
        <w:rPr>
          <w:rFonts w:hint="eastAsia" w:ascii="宋体" w:hAnsi="宋体" w:cs="宋体"/>
          <w:sz w:val="24"/>
          <w:highlight w:val="none"/>
          <w:lang w:bidi="ar"/>
        </w:rPr>
        <w:t>：林芝市</w:t>
      </w:r>
      <w:r>
        <w:rPr>
          <w:rFonts w:hint="eastAsia" w:ascii="宋体" w:hAnsi="宋体" w:cs="宋体"/>
          <w:sz w:val="24"/>
          <w:highlight w:val="none"/>
          <w:lang w:val="en-US" w:eastAsia="zh-CN" w:bidi="ar"/>
        </w:rPr>
        <w:t>财政局</w:t>
      </w:r>
    </w:p>
    <w:p w14:paraId="3839B081">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val="en-US" w:eastAsia="zh-CN" w:bidi="ar"/>
        </w:rPr>
      </w:pPr>
    </w:p>
    <w:p w14:paraId="66723F6F">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val="en-US" w:eastAsia="zh-CN" w:bidi="ar"/>
        </w:rPr>
      </w:pPr>
    </w:p>
    <w:p w14:paraId="244E691F">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val="en-US" w:eastAsia="zh-CN" w:bidi="ar"/>
        </w:rPr>
      </w:pPr>
    </w:p>
    <w:p w14:paraId="3A40E1E0">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val="en-US" w:eastAsia="zh-CN" w:bidi="ar"/>
        </w:rPr>
      </w:pPr>
    </w:p>
    <w:p w14:paraId="78A09926">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bidi="ar"/>
        </w:rPr>
      </w:pPr>
      <w:r>
        <w:rPr>
          <w:rFonts w:hint="eastAsia" w:ascii="宋体" w:hAnsi="宋体" w:cs="宋体"/>
          <w:sz w:val="24"/>
          <w:highlight w:val="none"/>
          <w:lang w:bidi="ar"/>
        </w:rPr>
        <w:t xml:space="preserve"> </w:t>
      </w:r>
    </w:p>
    <w:p w14:paraId="5810BC80">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bidi="ar"/>
        </w:rPr>
      </w:pPr>
      <w:r>
        <w:rPr>
          <w:rFonts w:hint="eastAsia" w:ascii="宋体" w:hAnsi="宋体" w:cs="宋体"/>
          <w:sz w:val="24"/>
          <w:highlight w:val="none"/>
          <w:lang w:bidi="ar"/>
        </w:rPr>
        <w:t xml:space="preserve"> </w:t>
      </w:r>
      <w:r>
        <w:rPr>
          <w:rFonts w:hint="eastAsia" w:ascii="宋体" w:hAnsi="宋体" w:cs="宋体"/>
          <w:sz w:val="24"/>
          <w:highlight w:val="none"/>
          <w:lang w:val="en-US" w:eastAsia="zh-CN" w:bidi="ar"/>
        </w:rPr>
        <w:t xml:space="preserve">         </w:t>
      </w:r>
      <w:r>
        <w:rPr>
          <w:rFonts w:hint="eastAsia" w:ascii="宋体" w:hAnsi="宋体" w:cs="宋体"/>
          <w:sz w:val="24"/>
          <w:highlight w:val="none"/>
          <w:lang w:bidi="ar"/>
        </w:rPr>
        <w:t>评价机构：陕西丰汇韵嘉会计师事务所合伙企业（普通合伙）</w:t>
      </w:r>
    </w:p>
    <w:p w14:paraId="1842CD70">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bidi="ar"/>
        </w:rPr>
      </w:pPr>
      <w:r>
        <w:rPr>
          <w:rFonts w:hint="eastAsia" w:ascii="宋体" w:hAnsi="宋体" w:cs="宋体"/>
          <w:sz w:val="24"/>
          <w:highlight w:val="none"/>
          <w:lang w:bidi="ar"/>
        </w:rPr>
        <w:t xml:space="preserve"> </w:t>
      </w:r>
    </w:p>
    <w:p w14:paraId="6CADA67F">
      <w:pPr>
        <w:keepNext w:val="0"/>
        <w:keepLines w:val="0"/>
        <w:pageBreakBefore w:val="0"/>
        <w:widowControl w:val="0"/>
        <w:kinsoku/>
        <w:wordWrap/>
        <w:overflowPunct/>
        <w:topLinePunct w:val="0"/>
        <w:autoSpaceDE/>
        <w:autoSpaceDN/>
        <w:bidi w:val="0"/>
        <w:adjustRightInd/>
        <w:snapToGrid/>
        <w:jc w:val="center"/>
        <w:textAlignment w:val="auto"/>
        <w:outlineLvl w:val="9"/>
        <w:rPr>
          <w:rFonts w:ascii="仿宋_GB2312" w:hAnsi="Calibri" w:eastAsia="仿宋_GB2312" w:cs="仿宋_GB2312"/>
          <w:sz w:val="32"/>
          <w:szCs w:val="32"/>
          <w:highlight w:val="none"/>
          <w:lang w:bidi="ar"/>
        </w:rPr>
      </w:pPr>
      <w:r>
        <w:rPr>
          <w:rFonts w:ascii="仿宋_GB2312" w:hAnsi="Calibri" w:eastAsia="仿宋_GB2312" w:cs="仿宋_GB2312"/>
          <w:sz w:val="32"/>
          <w:szCs w:val="32"/>
          <w:highlight w:val="none"/>
          <w:lang w:bidi="ar"/>
        </w:rPr>
        <w:t xml:space="preserve"> </w:t>
      </w:r>
    </w:p>
    <w:p w14:paraId="1BDC4411">
      <w:pPr>
        <w:keepNext w:val="0"/>
        <w:keepLines w:val="0"/>
        <w:pageBreakBefore w:val="0"/>
        <w:widowControl w:val="0"/>
        <w:kinsoku/>
        <w:wordWrap/>
        <w:overflowPunct/>
        <w:topLinePunct w:val="0"/>
        <w:autoSpaceDE/>
        <w:autoSpaceDN/>
        <w:bidi w:val="0"/>
        <w:adjustRightInd/>
        <w:snapToGrid/>
        <w:jc w:val="center"/>
        <w:textAlignment w:val="auto"/>
        <w:outlineLvl w:val="9"/>
        <w:rPr>
          <w:rFonts w:ascii="仿宋_GB2312" w:hAnsi="Calibri" w:eastAsia="仿宋_GB2312" w:cs="仿宋_GB2312"/>
          <w:sz w:val="32"/>
          <w:szCs w:val="32"/>
          <w:highlight w:val="none"/>
          <w:lang w:bidi="ar"/>
        </w:rPr>
      </w:pPr>
    </w:p>
    <w:p w14:paraId="3EDB49B0">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ar"/>
        </w:rPr>
        <w:t xml:space="preserve">               </w:t>
      </w:r>
      <w:r>
        <w:rPr>
          <w:rFonts w:hint="eastAsia" w:ascii="宋体" w:hAnsi="宋体" w:cs="宋体"/>
          <w:sz w:val="24"/>
          <w:szCs w:val="24"/>
          <w:highlight w:val="none"/>
          <w:lang w:val="en-US" w:eastAsia="zh-CN" w:bidi="ar"/>
        </w:rPr>
        <w:t xml:space="preserve">          </w:t>
      </w:r>
      <w:r>
        <w:rPr>
          <w:rFonts w:hint="eastAsia" w:ascii="宋体" w:hAnsi="宋体" w:eastAsia="宋体" w:cs="宋体"/>
          <w:sz w:val="24"/>
          <w:szCs w:val="24"/>
          <w:highlight w:val="none"/>
          <w:lang w:val="en-US" w:eastAsia="zh-CN" w:bidi="ar"/>
        </w:rPr>
        <w:t xml:space="preserve"> </w:t>
      </w:r>
      <w:r>
        <w:rPr>
          <w:rFonts w:hint="eastAsia" w:ascii="宋体" w:hAnsi="宋体" w:cs="宋体"/>
          <w:sz w:val="24"/>
          <w:szCs w:val="24"/>
          <w:highlight w:val="none"/>
          <w:lang w:val="en-US" w:eastAsia="zh-CN" w:bidi="ar"/>
        </w:rPr>
        <w:t xml:space="preserve">   </w:t>
      </w:r>
      <w:r>
        <w:rPr>
          <w:rFonts w:hint="eastAsia" w:ascii="宋体" w:hAnsi="宋体" w:eastAsia="宋体" w:cs="宋体"/>
          <w:sz w:val="24"/>
          <w:szCs w:val="24"/>
          <w:highlight w:val="none"/>
          <w:lang w:val="en-US" w:eastAsia="zh-CN" w:bidi="ar"/>
        </w:rPr>
        <w:t xml:space="preserve"> </w:t>
      </w:r>
      <w:r>
        <w:rPr>
          <w:rFonts w:hint="eastAsia" w:ascii="宋体" w:hAnsi="宋体" w:eastAsia="宋体" w:cs="宋体"/>
          <w:sz w:val="24"/>
          <w:szCs w:val="24"/>
          <w:highlight w:val="none"/>
          <w:lang w:bidi="ar"/>
        </w:rPr>
        <w:t>2024年</w:t>
      </w:r>
      <w:r>
        <w:rPr>
          <w:rFonts w:hint="eastAsia" w:ascii="宋体" w:hAnsi="宋体" w:cs="宋体"/>
          <w:sz w:val="24"/>
          <w:szCs w:val="24"/>
          <w:highlight w:val="none"/>
          <w:lang w:val="en-US" w:eastAsia="zh-CN" w:bidi="ar"/>
        </w:rPr>
        <w:t>7月26</w:t>
      </w:r>
      <w:r>
        <w:rPr>
          <w:rFonts w:hint="eastAsia" w:ascii="宋体" w:hAnsi="宋体" w:eastAsia="宋体" w:cs="宋体"/>
          <w:sz w:val="24"/>
          <w:szCs w:val="24"/>
          <w:highlight w:val="none"/>
          <w:lang w:bidi="ar"/>
        </w:rPr>
        <w:t>日</w:t>
      </w:r>
    </w:p>
    <w:p w14:paraId="14142588">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cs="宋体"/>
          <w:b/>
          <w:bCs/>
          <w:sz w:val="28"/>
          <w:szCs w:val="28"/>
          <w:highlight w:val="none"/>
        </w:rPr>
      </w:pPr>
      <w:r>
        <w:rPr>
          <w:rFonts w:hint="eastAsia" w:ascii="宋体" w:hAnsi="宋体" w:cs="宋体"/>
          <w:b/>
          <w:bCs/>
          <w:sz w:val="28"/>
          <w:szCs w:val="28"/>
          <w:highlight w:val="none"/>
          <w:lang w:bidi="ar"/>
        </w:rPr>
        <w:t xml:space="preserve">  </w:t>
      </w:r>
    </w:p>
    <w:p w14:paraId="034BF0F7">
      <w:pPr>
        <w:rPr>
          <w:rFonts w:ascii="Calibri" w:hAnsi="Calibri"/>
          <w:szCs w:val="21"/>
          <w:highlight w:val="none"/>
        </w:rPr>
      </w:pPr>
      <w:r>
        <w:rPr>
          <w:rFonts w:ascii="Calibri" w:hAnsi="Calibri"/>
          <w:szCs w:val="21"/>
          <w:highlight w:val="none"/>
          <w:lang w:bidi="ar"/>
        </w:rPr>
        <w:t xml:space="preserve"> </w:t>
      </w:r>
    </w:p>
    <w:p w14:paraId="72935026">
      <w:pPr>
        <w:rPr>
          <w:rFonts w:ascii="Calibri" w:hAnsi="Calibri"/>
          <w:szCs w:val="21"/>
          <w:highlight w:val="none"/>
        </w:rPr>
      </w:pPr>
      <w:r>
        <w:rPr>
          <w:rFonts w:ascii="Calibri" w:hAnsi="Calibri"/>
          <w:szCs w:val="21"/>
          <w:highlight w:val="none"/>
          <w:lang w:bidi="ar"/>
        </w:rPr>
        <w:t xml:space="preserve"> </w:t>
      </w:r>
    </w:p>
    <w:p w14:paraId="73D5E310">
      <w:pPr>
        <w:rPr>
          <w:rFonts w:hint="eastAsia" w:ascii="微软雅黑" w:hAnsi="微软雅黑" w:eastAsia="微软雅黑" w:cs="微软雅黑"/>
          <w:color w:val="000000"/>
          <w:sz w:val="27"/>
          <w:szCs w:val="27"/>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199B68EC">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目录</w:t>
      </w:r>
    </w:p>
    <w:p w14:paraId="44F1C5E5">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仿宋" w:hAnsi="仿宋" w:eastAsia="仿宋" w:cs="仿宋"/>
          <w:sz w:val="24"/>
          <w:szCs w:val="24"/>
        </w:rPr>
      </w:pPr>
    </w:p>
    <w:p w14:paraId="1EC61F80">
      <w:pPr>
        <w:pStyle w:val="7"/>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TOC \o "1-2" \h \u </w:instrText>
      </w:r>
      <w:r>
        <w:rPr>
          <w:rFonts w:hint="eastAsia" w:ascii="仿宋" w:hAnsi="仿宋" w:eastAsia="仿宋" w:cs="仿宋"/>
          <w:sz w:val="24"/>
          <w:szCs w:val="24"/>
        </w:rP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_Toc32082 </w:instrText>
      </w:r>
      <w:r>
        <w:rPr>
          <w:rFonts w:hint="eastAsia" w:ascii="仿宋" w:hAnsi="仿宋" w:eastAsia="仿宋" w:cs="仿宋"/>
          <w:sz w:val="24"/>
          <w:szCs w:val="24"/>
        </w:rPr>
        <w:fldChar w:fldCharType="separate"/>
      </w:r>
      <w:r>
        <w:rPr>
          <w:rFonts w:hint="eastAsia" w:ascii="仿宋" w:hAnsi="仿宋" w:eastAsia="仿宋" w:cs="仿宋"/>
          <w:bCs/>
          <w:sz w:val="24"/>
          <w:szCs w:val="24"/>
        </w:rPr>
        <w:t xml:space="preserve">一、 </w:t>
      </w:r>
      <w:r>
        <w:rPr>
          <w:rFonts w:hint="eastAsia" w:ascii="仿宋" w:hAnsi="仿宋" w:eastAsia="仿宋" w:cs="仿宋"/>
          <w:bCs/>
          <w:sz w:val="24"/>
          <w:szCs w:val="24"/>
          <w:highlight w:val="none"/>
          <w:lang w:bidi="ar"/>
        </w:rPr>
        <w:t>部门基本情况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_Toc32082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DFEA4A2">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_Toc4850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rPr>
        <w:t>（一）部门主要职能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_Toc4850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A6C027D">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_Toc3803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rPr>
        <w:t>（二）机构设置情况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_Toc3803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EB61C0A">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_Toc10610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rPr>
        <w:t>（三）人员编制情况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_Toc10610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CB0D71F">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_Toc8355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rPr>
        <w:t>（四）年度总体工作和重点工作任务</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_Toc8355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25D0DD0">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_Toc20579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rPr>
        <w:t>（五）部门预算批复及整体支出安排情况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_Toc20579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1721C02">
      <w:pPr>
        <w:pStyle w:val="7"/>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_Toc670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二、绩效评价工作开展情况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_Toc670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F5EB24A">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_Toc25386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（一）绩效评价目的、对象和范围</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_Toc25386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CE9A289">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_Toc26810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val="en"/>
        </w:rPr>
        <w:t>（</w:t>
      </w:r>
      <w:r>
        <w:rPr>
          <w:rFonts w:hint="eastAsia" w:ascii="仿宋" w:hAnsi="仿宋" w:eastAsia="仿宋" w:cs="仿宋"/>
          <w:bCs/>
          <w:sz w:val="24"/>
          <w:szCs w:val="24"/>
          <w:highlight w:val="none"/>
        </w:rPr>
        <w:t>二）</w:t>
      </w:r>
      <w:r>
        <w:rPr>
          <w:rFonts w:hint="eastAsia" w:ascii="仿宋" w:hAnsi="仿宋" w:eastAsia="仿宋" w:cs="仿宋"/>
          <w:bCs/>
          <w:sz w:val="24"/>
          <w:szCs w:val="24"/>
          <w:highlight w:val="none"/>
          <w:lang w:val="en-US" w:eastAsia="zh-CN"/>
        </w:rPr>
        <w:t>评价依据、</w:t>
      </w:r>
      <w:r>
        <w:rPr>
          <w:rFonts w:hint="eastAsia" w:ascii="仿宋" w:hAnsi="仿宋" w:eastAsia="仿宋" w:cs="仿宋"/>
          <w:bCs/>
          <w:sz w:val="24"/>
          <w:szCs w:val="24"/>
          <w:highlight w:val="none"/>
          <w:lang w:val="en"/>
        </w:rPr>
        <w:t>绩效评价原则、评价方法、评价标准、评价指标体系</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_Toc26810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D95E29D">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_Toc31645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（三）绩效评价工作过程</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_Toc31645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6E449CC">
      <w:pPr>
        <w:pStyle w:val="7"/>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_Toc19628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三、综合评价情况及评价结论</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_Toc19628 \h </w:instrText>
      </w:r>
      <w:r>
        <w:rPr>
          <w:rFonts w:hint="eastAsia" w:ascii="仿宋" w:hAnsi="仿宋" w:eastAsia="仿宋" w:cs="仿宋"/>
          <w:sz w:val="24"/>
          <w:szCs w:val="24"/>
        </w:rPr>
        <w:fldChar w:fldCharType="separate"/>
      </w:r>
      <w:r>
        <w:rPr>
          <w:rFonts w:hint="eastAsia" w:ascii="仿宋" w:hAnsi="仿宋" w:eastAsia="仿宋" w:cs="仿宋"/>
          <w:sz w:val="24"/>
          <w:szCs w:val="24"/>
        </w:rPr>
        <w:t>12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51F1E33">
      <w:pPr>
        <w:pStyle w:val="7"/>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_Toc7941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四、绩效评价指标分析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_Toc7941 \h </w:instrText>
      </w:r>
      <w:r>
        <w:rPr>
          <w:rFonts w:hint="eastAsia" w:ascii="仿宋" w:hAnsi="仿宋" w:eastAsia="仿宋" w:cs="仿宋"/>
          <w:sz w:val="24"/>
          <w:szCs w:val="24"/>
        </w:rPr>
        <w:fldChar w:fldCharType="separate"/>
      </w:r>
      <w:r>
        <w:rPr>
          <w:rFonts w:hint="eastAsia" w:ascii="仿宋" w:hAnsi="仿宋" w:eastAsia="仿宋" w:cs="仿宋"/>
          <w:sz w:val="24"/>
          <w:szCs w:val="24"/>
        </w:rPr>
        <w:t>12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4B7B6D7">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_Toc28507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（一）项目投入情况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_Toc28507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D9A736D">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_Toc8297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（二）项目过程情况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_Toc8297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17CF5DB">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_Toc32385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（三）项目产出情况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_Toc32385 \h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4171E22">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_Toc18977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（四）部门效益情况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_Toc18977 \h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16DE555">
      <w:pPr>
        <w:pStyle w:val="7"/>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_Toc18553 </w:instrText>
      </w:r>
      <w:r>
        <w:rPr>
          <w:rFonts w:hint="eastAsia" w:ascii="仿宋" w:hAnsi="仿宋" w:eastAsia="仿宋" w:cs="仿宋"/>
          <w:sz w:val="24"/>
          <w:szCs w:val="24"/>
        </w:rPr>
        <w:fldChar w:fldCharType="separate"/>
      </w:r>
      <w:r>
        <w:rPr>
          <w:rFonts w:hint="eastAsia" w:ascii="仿宋" w:hAnsi="仿宋" w:eastAsia="仿宋" w:cs="仿宋"/>
          <w:kern w:val="0"/>
          <w:sz w:val="24"/>
          <w:szCs w:val="24"/>
          <w:lang w:val="en-US" w:eastAsia="zh-CN" w:bidi="ar"/>
        </w:rPr>
        <w:t xml:space="preserve">五、 </w:t>
      </w:r>
      <w:r>
        <w:rPr>
          <w:rFonts w:hint="eastAsia" w:ascii="仿宋" w:hAnsi="仿宋" w:eastAsia="仿宋" w:cs="仿宋"/>
          <w:sz w:val="24"/>
          <w:szCs w:val="24"/>
          <w:highlight w:val="none"/>
        </w:rPr>
        <w:t>主要问题分析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_Toc18553 \h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A1116A0">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_Toc12536 </w:instrText>
      </w:r>
      <w:r>
        <w:rPr>
          <w:rFonts w:hint="eastAsia" w:ascii="仿宋" w:hAnsi="仿宋" w:eastAsia="仿宋" w:cs="仿宋"/>
          <w:sz w:val="24"/>
          <w:szCs w:val="24"/>
        </w:rPr>
        <w:fldChar w:fldCharType="separate"/>
      </w:r>
      <w:r>
        <w:rPr>
          <w:rFonts w:hint="eastAsia" w:ascii="仿宋" w:hAnsi="仿宋" w:eastAsia="仿宋" w:cs="仿宋"/>
          <w:kern w:val="0"/>
          <w:sz w:val="24"/>
          <w:szCs w:val="24"/>
          <w:highlight w:val="none"/>
          <w:lang w:val="en-US" w:eastAsia="zh-CN" w:bidi="ar"/>
        </w:rPr>
        <w:t>（一）预算管理方面</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_Toc12536 \h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D3DC716">
      <w:pPr>
        <w:pStyle w:val="7"/>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_Toc30547 </w:instrText>
      </w:r>
      <w:r>
        <w:rPr>
          <w:rFonts w:hint="eastAsia" w:ascii="仿宋" w:hAnsi="仿宋" w:eastAsia="仿宋" w:cs="仿宋"/>
          <w:sz w:val="24"/>
          <w:szCs w:val="24"/>
        </w:rPr>
        <w:fldChar w:fldCharType="separate"/>
      </w:r>
      <w:r>
        <w:rPr>
          <w:rFonts w:hint="eastAsia" w:ascii="仿宋" w:hAnsi="仿宋" w:eastAsia="仿宋" w:cs="仿宋"/>
          <w:sz w:val="24"/>
          <w:szCs w:val="24"/>
        </w:rPr>
        <w:t xml:space="preserve">六、 </w:t>
      </w:r>
      <w:r>
        <w:rPr>
          <w:rFonts w:hint="eastAsia" w:ascii="仿宋" w:hAnsi="仿宋" w:eastAsia="仿宋" w:cs="仿宋"/>
          <w:sz w:val="24"/>
          <w:szCs w:val="24"/>
          <w:highlight w:val="none"/>
        </w:rPr>
        <w:t>相关建议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_Toc30547 \h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584E34C">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_Toc25963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bidi="ar"/>
        </w:rPr>
        <w:t xml:space="preserve">（一） </w:t>
      </w:r>
      <w:r>
        <w:rPr>
          <w:rFonts w:hint="eastAsia" w:ascii="仿宋" w:hAnsi="仿宋" w:eastAsia="仿宋" w:cs="仿宋"/>
          <w:sz w:val="24"/>
          <w:szCs w:val="24"/>
          <w:highlight w:val="none"/>
          <w:lang w:val="en-US" w:eastAsia="zh-CN" w:bidi="ar"/>
        </w:rPr>
        <w:t>预算管理方面</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_Toc25963 \h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A1FA145">
      <w:pPr>
        <w:pStyle w:val="7"/>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_Toc21919 </w:instrText>
      </w:r>
      <w:r>
        <w:rPr>
          <w:rFonts w:hint="eastAsia" w:ascii="仿宋" w:hAnsi="仿宋" w:eastAsia="仿宋" w:cs="仿宋"/>
          <w:sz w:val="24"/>
          <w:szCs w:val="24"/>
        </w:rPr>
        <w:fldChar w:fldCharType="separate"/>
      </w:r>
      <w:r>
        <w:rPr>
          <w:rFonts w:hint="eastAsia" w:ascii="仿宋" w:hAnsi="仿宋" w:eastAsia="仿宋" w:cs="仿宋"/>
          <w:bCs/>
          <w:sz w:val="24"/>
          <w:szCs w:val="24"/>
        </w:rPr>
        <w:t xml:space="preserve">七、 </w:t>
      </w:r>
      <w:r>
        <w:rPr>
          <w:rFonts w:hint="eastAsia" w:ascii="仿宋" w:hAnsi="仿宋" w:eastAsia="仿宋" w:cs="仿宋"/>
          <w:bCs/>
          <w:sz w:val="24"/>
          <w:szCs w:val="24"/>
          <w:highlight w:val="none"/>
          <w:lang w:val="en-US" w:eastAsia="zh-CN"/>
        </w:rPr>
        <w:t>其他需要说明的问题</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_Toc21919 \h </w:instrText>
      </w:r>
      <w:r>
        <w:rPr>
          <w:rFonts w:hint="eastAsia" w:ascii="仿宋" w:hAnsi="仿宋" w:eastAsia="仿宋" w:cs="仿宋"/>
          <w:sz w:val="24"/>
          <w:szCs w:val="24"/>
        </w:rPr>
        <w:fldChar w:fldCharType="separate"/>
      </w:r>
      <w:r>
        <w:rPr>
          <w:rFonts w:hint="eastAsia" w:ascii="仿宋" w:hAnsi="仿宋" w:eastAsia="仿宋" w:cs="仿宋"/>
          <w:sz w:val="24"/>
          <w:szCs w:val="24"/>
        </w:rPr>
        <w:t>24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BA7620D">
      <w:pPr>
        <w:pStyle w:val="7"/>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_Toc7103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附件：</w:t>
      </w:r>
      <w:r>
        <w:rPr>
          <w:rFonts w:hint="eastAsia" w:ascii="仿宋" w:hAnsi="仿宋" w:eastAsia="仿宋" w:cs="仿宋"/>
          <w:bCs/>
          <w:kern w:val="2"/>
          <w:sz w:val="24"/>
          <w:szCs w:val="24"/>
          <w:highlight w:val="none"/>
          <w:lang w:bidi="ar"/>
        </w:rPr>
        <w:t>绩效评价指标体系框架打分表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_Toc7103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lang w:val="en-US" w:eastAsia="zh-CN"/>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4CB4E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仿宋" w:hAnsi="仿宋" w:eastAsia="仿宋" w:cs="仿宋"/>
          <w:sz w:val="24"/>
          <w:szCs w:val="24"/>
        </w:rPr>
        <w:fldChar w:fldCharType="end"/>
      </w:r>
    </w:p>
    <w:p w14:paraId="55FECF84">
      <w:pPr>
        <w:pStyle w:val="9"/>
        <w:keepNext w:val="0"/>
        <w:keepLines w:val="0"/>
        <w:pageBreakBefore w:val="0"/>
        <w:kinsoku/>
        <w:wordWrap/>
        <w:overflowPunct/>
        <w:topLinePunct w:val="0"/>
        <w:autoSpaceDE/>
        <w:autoSpaceDN/>
        <w:bidi w:val="0"/>
        <w:adjustRightInd/>
        <w:snapToGrid/>
        <w:spacing w:before="165" w:beforeLines="50" w:beforeAutospacing="0" w:after="165" w:afterLines="50" w:afterAutospacing="0" w:line="360" w:lineRule="auto"/>
        <w:jc w:val="center"/>
        <w:textAlignment w:val="auto"/>
        <w:outlineLvl w:val="9"/>
        <w:rPr>
          <w:rFonts w:hint="eastAsia" w:ascii="微软雅黑" w:hAnsi="微软雅黑" w:eastAsia="微软雅黑" w:cs="微软雅黑"/>
          <w:b w:val="0"/>
          <w:bCs w:val="0"/>
          <w:color w:val="000000"/>
          <w:sz w:val="27"/>
          <w:szCs w:val="27"/>
          <w:highlight w:val="none"/>
          <w:lang w:val="en-US" w:bidi="ar"/>
        </w:rPr>
      </w:pPr>
    </w:p>
    <w:p w14:paraId="147691AB">
      <w:pPr>
        <w:pStyle w:val="9"/>
        <w:keepNext w:val="0"/>
        <w:keepLines w:val="0"/>
        <w:pageBreakBefore w:val="0"/>
        <w:kinsoku/>
        <w:wordWrap/>
        <w:overflowPunct/>
        <w:topLinePunct w:val="0"/>
        <w:autoSpaceDE/>
        <w:autoSpaceDN/>
        <w:bidi w:val="0"/>
        <w:adjustRightInd/>
        <w:snapToGrid/>
        <w:spacing w:before="165" w:beforeLines="50" w:beforeAutospacing="0" w:after="165" w:afterLines="50" w:afterAutospacing="0" w:line="360" w:lineRule="auto"/>
        <w:jc w:val="center"/>
        <w:textAlignment w:val="auto"/>
        <w:outlineLvl w:val="9"/>
        <w:rPr>
          <w:rFonts w:hint="eastAsia" w:ascii="微软雅黑" w:hAnsi="微软雅黑" w:eastAsia="微软雅黑" w:cs="微软雅黑"/>
          <w:b w:val="0"/>
          <w:bCs w:val="0"/>
          <w:color w:val="000000"/>
          <w:sz w:val="27"/>
          <w:szCs w:val="27"/>
          <w:highlight w:val="none"/>
          <w:lang w:val="en-US" w:bidi="ar"/>
        </w:rPr>
      </w:pPr>
    </w:p>
    <w:p w14:paraId="6E8B3A74">
      <w:pPr>
        <w:pStyle w:val="9"/>
        <w:keepNext w:val="0"/>
        <w:keepLines w:val="0"/>
        <w:pageBreakBefore w:val="0"/>
        <w:kinsoku/>
        <w:wordWrap/>
        <w:overflowPunct/>
        <w:topLinePunct w:val="0"/>
        <w:autoSpaceDE/>
        <w:autoSpaceDN/>
        <w:bidi w:val="0"/>
        <w:adjustRightInd/>
        <w:snapToGrid/>
        <w:spacing w:before="165" w:beforeLines="50" w:beforeAutospacing="0" w:after="165" w:afterLines="50" w:afterAutospacing="0" w:line="360" w:lineRule="auto"/>
        <w:jc w:val="center"/>
        <w:textAlignment w:val="auto"/>
        <w:outlineLvl w:val="9"/>
        <w:rPr>
          <w:rFonts w:hint="eastAsia" w:ascii="微软雅黑" w:hAnsi="微软雅黑" w:eastAsia="微软雅黑" w:cs="微软雅黑"/>
          <w:b w:val="0"/>
          <w:bCs w:val="0"/>
          <w:color w:val="000000"/>
          <w:sz w:val="27"/>
          <w:szCs w:val="27"/>
          <w:highlight w:val="none"/>
          <w:lang w:val="en-US" w:bidi="ar"/>
        </w:rPr>
        <w:sectPr>
          <w:footerReference r:id="rId4" w:type="default"/>
          <w:pgSz w:w="11906" w:h="16838"/>
          <w:pgMar w:top="1496" w:right="1416" w:bottom="1105" w:left="1638" w:header="170" w:footer="454" w:gutter="0"/>
          <w:pgBorders>
            <w:top w:val="none" w:sz="0" w:space="0"/>
            <w:left w:val="none" w:sz="0" w:space="0"/>
            <w:bottom w:val="none" w:sz="0" w:space="0"/>
            <w:right w:val="none" w:sz="0" w:space="0"/>
          </w:pgBorders>
          <w:pgNumType w:fmt="decimal" w:start="1"/>
          <w:cols w:space="720" w:num="1"/>
          <w:docGrid w:type="lines" w:linePitch="328" w:charSpace="0"/>
        </w:sectPr>
      </w:pPr>
    </w:p>
    <w:p w14:paraId="20BC3F16">
      <w:pPr>
        <w:pStyle w:val="9"/>
        <w:keepNext w:val="0"/>
        <w:keepLines w:val="0"/>
        <w:pageBreakBefore w:val="0"/>
        <w:kinsoku/>
        <w:wordWrap/>
        <w:overflowPunct/>
        <w:topLinePunct w:val="0"/>
        <w:autoSpaceDE/>
        <w:autoSpaceDN/>
        <w:bidi w:val="0"/>
        <w:adjustRightInd/>
        <w:snapToGrid/>
        <w:spacing w:before="165" w:beforeLines="50" w:beforeAutospacing="0" w:after="165" w:afterLines="50" w:afterAutospacing="0" w:line="360" w:lineRule="auto"/>
        <w:jc w:val="center"/>
        <w:textAlignment w:val="auto"/>
        <w:outlineLvl w:val="9"/>
        <w:rPr>
          <w:rFonts w:hint="eastAsia" w:ascii="仿宋" w:hAnsi="仿宋" w:eastAsia="仿宋" w:cs="仿宋"/>
          <w:b/>
          <w:bCs/>
          <w:sz w:val="32"/>
          <w:szCs w:val="32"/>
          <w:highlight w:val="none"/>
          <w:lang w:val="en-US" w:eastAsia="zh-CN" w:bidi="ar"/>
        </w:rPr>
      </w:pPr>
      <w:r>
        <w:rPr>
          <w:rFonts w:hint="eastAsia" w:ascii="仿宋" w:hAnsi="仿宋" w:eastAsia="仿宋" w:cs="仿宋"/>
          <w:b/>
          <w:bCs/>
          <w:color w:val="000000"/>
          <w:sz w:val="32"/>
          <w:szCs w:val="32"/>
          <w:highlight w:val="none"/>
          <w:lang w:val="en-US" w:bidi="ar"/>
        </w:rPr>
        <w:t>林芝市</w:t>
      </w:r>
      <w:r>
        <w:rPr>
          <w:rFonts w:hint="eastAsia" w:ascii="仿宋" w:hAnsi="仿宋" w:eastAsia="仿宋" w:cs="仿宋"/>
          <w:b/>
          <w:bCs/>
          <w:color w:val="000000"/>
          <w:sz w:val="32"/>
          <w:szCs w:val="32"/>
          <w:highlight w:val="none"/>
          <w:lang w:val="en-US" w:eastAsia="zh-CN" w:bidi="ar"/>
        </w:rPr>
        <w:t>消防救援支队</w:t>
      </w:r>
    </w:p>
    <w:p w14:paraId="2B5FCEB7">
      <w:pPr>
        <w:pStyle w:val="9"/>
        <w:keepNext w:val="0"/>
        <w:keepLines w:val="0"/>
        <w:pageBreakBefore w:val="0"/>
        <w:kinsoku/>
        <w:wordWrap/>
        <w:overflowPunct/>
        <w:topLinePunct w:val="0"/>
        <w:autoSpaceDE/>
        <w:autoSpaceDN/>
        <w:bidi w:val="0"/>
        <w:adjustRightInd/>
        <w:snapToGrid/>
        <w:spacing w:before="165" w:beforeLines="50" w:beforeAutospacing="0" w:after="165" w:afterLines="50" w:afterAutospacing="0" w:line="360" w:lineRule="auto"/>
        <w:jc w:val="center"/>
        <w:textAlignment w:val="auto"/>
        <w:outlineLvl w:val="9"/>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2023年度</w:t>
      </w:r>
      <w:bookmarkStart w:id="3" w:name="_Toc29384"/>
      <w:r>
        <w:rPr>
          <w:rFonts w:hint="eastAsia" w:ascii="仿宋" w:hAnsi="仿宋" w:eastAsia="仿宋" w:cs="仿宋"/>
          <w:b/>
          <w:bCs/>
          <w:sz w:val="32"/>
          <w:szCs w:val="32"/>
          <w:highlight w:val="none"/>
          <w:lang w:bidi="ar"/>
        </w:rPr>
        <w:t>部门整体绩效评价报告</w:t>
      </w:r>
      <w:bookmarkEnd w:id="3"/>
    </w:p>
    <w:p w14:paraId="2A3BE7BC">
      <w:pPr>
        <w:keepNext w:val="0"/>
        <w:keepLines w:val="0"/>
        <w:pageBreakBefore w:val="0"/>
        <w:widowControl w:val="0"/>
        <w:kinsoku/>
        <w:wordWrap/>
        <w:overflowPunct/>
        <w:topLinePunct w:val="0"/>
        <w:autoSpaceDE/>
        <w:autoSpaceDN/>
        <w:bidi w:val="0"/>
        <w:adjustRightInd/>
        <w:snapToGrid/>
        <w:spacing w:before="165" w:beforeLines="50" w:beforeAutospacing="0" w:after="165" w:afterLines="50" w:afterAutospacing="0" w:line="360" w:lineRule="auto"/>
        <w:ind w:firstLine="0" w:firstLineChars="0"/>
        <w:jc w:val="left"/>
        <w:textAlignment w:val="auto"/>
        <w:outlineLvl w:val="9"/>
        <w:rPr>
          <w:rFonts w:hint="eastAsia" w:ascii="仿宋" w:hAnsi="仿宋" w:eastAsia="仿宋" w:cs="仿宋"/>
          <w:b w:val="0"/>
          <w:bCs w:val="0"/>
          <w:color w:val="000000"/>
          <w:sz w:val="32"/>
          <w:szCs w:val="32"/>
          <w:highlight w:val="none"/>
          <w:lang w:val="en-US"/>
        </w:rPr>
      </w:pPr>
      <w:bookmarkStart w:id="4" w:name="_Toc16748"/>
      <w:r>
        <w:rPr>
          <w:rFonts w:hint="eastAsia" w:ascii="仿宋" w:hAnsi="仿宋" w:eastAsia="仿宋" w:cs="仿宋"/>
          <w:b w:val="0"/>
          <w:bCs w:val="0"/>
          <w:color w:val="000000"/>
          <w:sz w:val="32"/>
          <w:szCs w:val="32"/>
          <w:highlight w:val="none"/>
          <w:lang w:val="en-US"/>
        </w:rPr>
        <w:t>林芝市财政局</w:t>
      </w:r>
      <w:r>
        <w:rPr>
          <w:rFonts w:hint="eastAsia" w:ascii="仿宋" w:hAnsi="仿宋" w:eastAsia="仿宋" w:cs="仿宋"/>
          <w:b w:val="0"/>
          <w:bCs w:val="0"/>
          <w:color w:val="000000"/>
          <w:sz w:val="32"/>
          <w:szCs w:val="32"/>
          <w:highlight w:val="none"/>
          <w:lang w:val="en-US" w:eastAsia="zh-CN"/>
        </w:rPr>
        <w:t>：</w:t>
      </w:r>
      <w:bookmarkEnd w:id="4"/>
    </w:p>
    <w:p w14:paraId="52F0B9FB">
      <w:pPr>
        <w:keepNext w:val="0"/>
        <w:keepLines w:val="0"/>
        <w:pageBreakBefore w:val="0"/>
        <w:kinsoku/>
        <w:wordWrap/>
        <w:overflowPunct/>
        <w:topLinePunct w:val="0"/>
        <w:autoSpaceDE/>
        <w:autoSpaceDN/>
        <w:bidi w:val="0"/>
        <w:adjustRightInd/>
        <w:snapToGrid/>
        <w:spacing w:before="165" w:beforeLines="50" w:beforeAutospacing="0" w:after="165" w:afterLines="50" w:afterAutospacing="0" w:line="360" w:lineRule="auto"/>
        <w:ind w:firstLine="640" w:firstLineChars="200"/>
        <w:jc w:val="left"/>
        <w:textAlignment w:val="auto"/>
        <w:outlineLvl w:val="9"/>
        <w:rPr>
          <w:rFonts w:hint="eastAsia" w:ascii="仿宋" w:hAnsi="仿宋" w:eastAsia="仿宋" w:cs="仿宋"/>
          <w:sz w:val="32"/>
          <w:szCs w:val="32"/>
          <w:highlight w:val="none"/>
          <w:lang w:bidi="ar"/>
        </w:rPr>
      </w:pPr>
      <w:bookmarkStart w:id="5" w:name="_Toc3418"/>
      <w:r>
        <w:rPr>
          <w:rFonts w:hint="eastAsia" w:ascii="仿宋" w:hAnsi="仿宋" w:eastAsia="仿宋" w:cs="仿宋"/>
          <w:b w:val="0"/>
          <w:bCs w:val="0"/>
          <w:color w:val="000000"/>
          <w:sz w:val="32"/>
          <w:szCs w:val="32"/>
          <w:highlight w:val="none"/>
          <w:lang w:val="en-US"/>
        </w:rPr>
        <w:t>我们接受贵单位委托，对林芝市</w:t>
      </w:r>
      <w:r>
        <w:rPr>
          <w:rFonts w:hint="eastAsia" w:ascii="仿宋" w:hAnsi="仿宋" w:eastAsia="仿宋" w:cs="仿宋"/>
          <w:b w:val="0"/>
          <w:bCs w:val="0"/>
          <w:color w:val="000000"/>
          <w:sz w:val="32"/>
          <w:szCs w:val="32"/>
          <w:highlight w:val="none"/>
          <w:lang w:val="en-US" w:eastAsia="zh-CN"/>
        </w:rPr>
        <w:t>消防救援支队</w:t>
      </w:r>
      <w:r>
        <w:rPr>
          <w:rFonts w:hint="eastAsia" w:ascii="仿宋" w:hAnsi="仿宋" w:eastAsia="仿宋" w:cs="仿宋"/>
          <w:b w:val="0"/>
          <w:bCs w:val="0"/>
          <w:i w:val="0"/>
          <w:iCs w:val="0"/>
          <w:caps w:val="0"/>
          <w:color w:val="000000"/>
          <w:spacing w:val="0"/>
          <w:kern w:val="0"/>
          <w:sz w:val="32"/>
          <w:szCs w:val="32"/>
        </w:rPr>
        <w:t>(以下简称:“</w:t>
      </w:r>
      <w:r>
        <w:rPr>
          <w:rFonts w:hint="eastAsia" w:ascii="仿宋" w:hAnsi="仿宋" w:eastAsia="仿宋" w:cs="仿宋"/>
          <w:b w:val="0"/>
          <w:bCs w:val="0"/>
          <w:i w:val="0"/>
          <w:iCs w:val="0"/>
          <w:caps w:val="0"/>
          <w:color w:val="000000"/>
          <w:spacing w:val="0"/>
          <w:kern w:val="0"/>
          <w:sz w:val="32"/>
          <w:szCs w:val="32"/>
          <w:lang w:val="en-US" w:eastAsia="zh-CN"/>
        </w:rPr>
        <w:t>市消防支队</w:t>
      </w:r>
      <w:r>
        <w:rPr>
          <w:rFonts w:hint="eastAsia" w:ascii="仿宋" w:hAnsi="仿宋" w:eastAsia="仿宋" w:cs="仿宋"/>
          <w:b w:val="0"/>
          <w:bCs w:val="0"/>
          <w:i w:val="0"/>
          <w:iCs w:val="0"/>
          <w:caps w:val="0"/>
          <w:color w:val="000000"/>
          <w:spacing w:val="0"/>
          <w:kern w:val="0"/>
          <w:sz w:val="32"/>
          <w:szCs w:val="32"/>
        </w:rPr>
        <w:t>”)</w:t>
      </w:r>
      <w:r>
        <w:rPr>
          <w:rFonts w:hint="eastAsia" w:ascii="仿宋" w:hAnsi="仿宋" w:eastAsia="仿宋" w:cs="仿宋"/>
          <w:b w:val="0"/>
          <w:bCs w:val="0"/>
          <w:color w:val="000000"/>
          <w:sz w:val="32"/>
          <w:szCs w:val="32"/>
          <w:highlight w:val="none"/>
          <w:lang w:val="en-US"/>
        </w:rPr>
        <w:t>202</w:t>
      </w:r>
      <w:r>
        <w:rPr>
          <w:rFonts w:hint="eastAsia" w:ascii="仿宋" w:hAnsi="仿宋" w:eastAsia="仿宋" w:cs="仿宋"/>
          <w:b w:val="0"/>
          <w:bCs w:val="0"/>
          <w:color w:val="000000"/>
          <w:sz w:val="32"/>
          <w:szCs w:val="32"/>
          <w:highlight w:val="none"/>
          <w:lang w:val="en-US" w:eastAsia="zh-CN"/>
        </w:rPr>
        <w:t>3</w:t>
      </w:r>
      <w:r>
        <w:rPr>
          <w:rFonts w:hint="eastAsia" w:ascii="仿宋" w:hAnsi="仿宋" w:eastAsia="仿宋" w:cs="仿宋"/>
          <w:b w:val="0"/>
          <w:bCs w:val="0"/>
          <w:color w:val="000000"/>
          <w:sz w:val="32"/>
          <w:szCs w:val="32"/>
          <w:highlight w:val="none"/>
          <w:lang w:val="en-US"/>
        </w:rPr>
        <w:t>年1月1日</w:t>
      </w:r>
      <w:r>
        <w:rPr>
          <w:rFonts w:hint="eastAsia" w:ascii="仿宋" w:hAnsi="仿宋" w:eastAsia="仿宋" w:cs="仿宋"/>
          <w:b w:val="0"/>
          <w:bCs w:val="0"/>
          <w:color w:val="000000"/>
          <w:sz w:val="32"/>
          <w:szCs w:val="32"/>
          <w:highlight w:val="none"/>
          <w:lang w:val="en-US" w:eastAsia="zh-CN"/>
        </w:rPr>
        <w:t>至</w:t>
      </w:r>
      <w:r>
        <w:rPr>
          <w:rFonts w:hint="eastAsia" w:ascii="仿宋" w:hAnsi="仿宋" w:eastAsia="仿宋" w:cs="仿宋"/>
          <w:b w:val="0"/>
          <w:bCs w:val="0"/>
          <w:color w:val="000000"/>
          <w:sz w:val="32"/>
          <w:szCs w:val="32"/>
          <w:highlight w:val="none"/>
          <w:lang w:val="en-US"/>
        </w:rPr>
        <w:t>202</w:t>
      </w:r>
      <w:r>
        <w:rPr>
          <w:rFonts w:hint="eastAsia" w:ascii="仿宋" w:hAnsi="仿宋" w:eastAsia="仿宋" w:cs="仿宋"/>
          <w:b w:val="0"/>
          <w:bCs w:val="0"/>
          <w:color w:val="000000"/>
          <w:sz w:val="32"/>
          <w:szCs w:val="32"/>
          <w:highlight w:val="none"/>
          <w:lang w:val="en-US" w:eastAsia="zh-CN"/>
        </w:rPr>
        <w:t>3</w:t>
      </w:r>
      <w:r>
        <w:rPr>
          <w:rFonts w:hint="eastAsia" w:ascii="仿宋" w:hAnsi="仿宋" w:eastAsia="仿宋" w:cs="仿宋"/>
          <w:b w:val="0"/>
          <w:bCs w:val="0"/>
          <w:color w:val="000000"/>
          <w:sz w:val="32"/>
          <w:szCs w:val="32"/>
          <w:highlight w:val="none"/>
          <w:lang w:val="en-US"/>
        </w:rPr>
        <w:t>年12月31日本级财政预算资金整体支出进行绩效评价，</w:t>
      </w:r>
      <w:r>
        <w:rPr>
          <w:rFonts w:hint="eastAsia" w:ascii="仿宋" w:hAnsi="仿宋" w:eastAsia="仿宋" w:cs="仿宋"/>
          <w:b w:val="0"/>
          <w:bCs w:val="0"/>
          <w:i w:val="0"/>
          <w:iCs w:val="0"/>
          <w:caps w:val="0"/>
          <w:color w:val="000000"/>
          <w:spacing w:val="0"/>
          <w:kern w:val="0"/>
          <w:sz w:val="32"/>
          <w:szCs w:val="32"/>
          <w:lang w:val="en-US" w:eastAsia="zh-CN"/>
        </w:rPr>
        <w:t>市消防支队</w:t>
      </w:r>
      <w:r>
        <w:rPr>
          <w:rFonts w:hint="eastAsia" w:ascii="仿宋" w:hAnsi="仿宋" w:eastAsia="仿宋" w:cs="仿宋"/>
          <w:b w:val="0"/>
          <w:bCs w:val="0"/>
          <w:color w:val="000000"/>
          <w:sz w:val="32"/>
          <w:szCs w:val="32"/>
          <w:highlight w:val="none"/>
          <w:lang w:val="en-US"/>
        </w:rPr>
        <w:t>对建立健全内部内控制度、提供的会计资料和相关材料证明文件的完整性、真实性、合法性承担责任。依据《中共西自治区委员会西藏自治区人民政府关于全面实施预算绩效管理的实施意见》</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藏党发</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2020</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7号</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、财政部《财政支出绩效评价管理暂行办法》</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财预</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2011〕285号</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以及《林芝市财政局关于开展 2023 年度部门整体支出、项目支出、财政政策绩效评价工作通知》</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林财预〔202</w:t>
      </w:r>
      <w:r>
        <w:rPr>
          <w:rFonts w:hint="eastAsia" w:ascii="仿宋" w:hAnsi="仿宋" w:eastAsia="仿宋" w:cs="仿宋"/>
          <w:b w:val="0"/>
          <w:bCs w:val="0"/>
          <w:color w:val="000000"/>
          <w:sz w:val="32"/>
          <w:szCs w:val="32"/>
          <w:highlight w:val="none"/>
          <w:lang w:val="en-US" w:eastAsia="zh-CN"/>
        </w:rPr>
        <w:t>4</w:t>
      </w:r>
      <w:r>
        <w:rPr>
          <w:rFonts w:hint="eastAsia" w:ascii="仿宋" w:hAnsi="仿宋" w:eastAsia="仿宋" w:cs="仿宋"/>
          <w:b w:val="0"/>
          <w:bCs w:val="0"/>
          <w:color w:val="000000"/>
          <w:sz w:val="32"/>
          <w:szCs w:val="32"/>
          <w:highlight w:val="none"/>
          <w:lang w:val="en-US"/>
        </w:rPr>
        <w:t>〕</w:t>
      </w:r>
      <w:r>
        <w:rPr>
          <w:rFonts w:hint="eastAsia" w:ascii="仿宋" w:hAnsi="仿宋" w:eastAsia="仿宋" w:cs="仿宋"/>
          <w:b w:val="0"/>
          <w:bCs w:val="0"/>
          <w:color w:val="000000"/>
          <w:sz w:val="32"/>
          <w:szCs w:val="32"/>
          <w:highlight w:val="none"/>
          <w:lang w:val="en-US" w:eastAsia="zh-CN"/>
        </w:rPr>
        <w:t>11</w:t>
      </w:r>
      <w:r>
        <w:rPr>
          <w:rFonts w:hint="eastAsia" w:ascii="仿宋" w:hAnsi="仿宋" w:eastAsia="仿宋" w:cs="仿宋"/>
          <w:b w:val="0"/>
          <w:bCs w:val="0"/>
          <w:color w:val="000000"/>
          <w:sz w:val="32"/>
          <w:szCs w:val="32"/>
          <w:highlight w:val="none"/>
          <w:lang w:val="en-US"/>
        </w:rPr>
        <w:t>号</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相关要求，结合</w:t>
      </w:r>
      <w:r>
        <w:rPr>
          <w:rFonts w:hint="eastAsia" w:ascii="仿宋" w:hAnsi="仿宋" w:eastAsia="仿宋" w:cs="仿宋"/>
          <w:b w:val="0"/>
          <w:bCs w:val="0"/>
          <w:i w:val="0"/>
          <w:iCs w:val="0"/>
          <w:caps w:val="0"/>
          <w:color w:val="000000"/>
          <w:spacing w:val="0"/>
          <w:kern w:val="0"/>
          <w:sz w:val="32"/>
          <w:szCs w:val="32"/>
          <w:lang w:val="en-US" w:eastAsia="zh-CN"/>
        </w:rPr>
        <w:t>市消防支队</w:t>
      </w:r>
      <w:r>
        <w:rPr>
          <w:rFonts w:hint="eastAsia" w:ascii="仿宋" w:hAnsi="仿宋" w:eastAsia="仿宋" w:cs="仿宋"/>
          <w:b w:val="0"/>
          <w:bCs w:val="0"/>
          <w:color w:val="000000"/>
          <w:sz w:val="32"/>
          <w:szCs w:val="32"/>
          <w:highlight w:val="none"/>
          <w:lang w:val="en-US"/>
        </w:rPr>
        <w:t>的实际情况，我们实施了查阅资料、实地察看、社会调查、检查、询问、计算、分析性复核等评价程序，现将有关情况报告如下</w:t>
      </w:r>
      <w:r>
        <w:rPr>
          <w:rFonts w:hint="eastAsia" w:ascii="仿宋" w:hAnsi="仿宋" w:eastAsia="仿宋" w:cs="仿宋"/>
          <w:b w:val="0"/>
          <w:bCs w:val="0"/>
          <w:color w:val="000000"/>
          <w:sz w:val="32"/>
          <w:szCs w:val="32"/>
          <w:highlight w:val="none"/>
          <w:lang w:val="en-US" w:eastAsia="zh-CN"/>
        </w:rPr>
        <w:t>：</w:t>
      </w:r>
      <w:bookmarkEnd w:id="5"/>
    </w:p>
    <w:p w14:paraId="3354694B">
      <w:pPr>
        <w:pStyle w:val="9"/>
        <w:keepNext w:val="0"/>
        <w:keepLines w:val="0"/>
        <w:pageBreakBefore w:val="0"/>
        <w:numPr>
          <w:ilvl w:val="0"/>
          <w:numId w:val="1"/>
        </w:numPr>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textAlignment w:val="auto"/>
        <w:outlineLvl w:val="0"/>
        <w:rPr>
          <w:rFonts w:hint="eastAsia" w:ascii="仿宋" w:hAnsi="仿宋" w:eastAsia="仿宋" w:cs="仿宋"/>
          <w:b/>
          <w:bCs/>
          <w:sz w:val="32"/>
          <w:szCs w:val="32"/>
          <w:highlight w:val="none"/>
        </w:rPr>
      </w:pPr>
      <w:bookmarkStart w:id="6" w:name="_Toc32082"/>
      <w:r>
        <w:rPr>
          <w:rFonts w:hint="eastAsia" w:ascii="仿宋" w:hAnsi="仿宋" w:eastAsia="仿宋" w:cs="仿宋"/>
          <w:b/>
          <w:bCs/>
          <w:sz w:val="32"/>
          <w:szCs w:val="32"/>
          <w:highlight w:val="none"/>
          <w:lang w:bidi="ar"/>
        </w:rPr>
        <w:t>部门基本情况</w:t>
      </w:r>
      <w:bookmarkEnd w:id="6"/>
    </w:p>
    <w:p w14:paraId="433E1DA2">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482"/>
        <w:textAlignment w:val="auto"/>
        <w:outlineLvl w:val="1"/>
        <w:rPr>
          <w:rFonts w:hint="eastAsia" w:ascii="仿宋" w:hAnsi="仿宋" w:eastAsia="仿宋" w:cs="仿宋"/>
          <w:b/>
          <w:bCs/>
          <w:sz w:val="32"/>
          <w:szCs w:val="32"/>
          <w:highlight w:val="none"/>
        </w:rPr>
      </w:pPr>
      <w:bookmarkStart w:id="7" w:name="_Toc4850"/>
      <w:r>
        <w:rPr>
          <w:rFonts w:hint="eastAsia" w:ascii="仿宋" w:hAnsi="仿宋" w:eastAsia="仿宋" w:cs="仿宋"/>
          <w:b/>
          <w:bCs/>
          <w:sz w:val="32"/>
          <w:szCs w:val="32"/>
          <w:highlight w:val="none"/>
        </w:rPr>
        <w:t>（一）部门主要职能</w:t>
      </w:r>
      <w:bookmarkEnd w:id="7"/>
    </w:p>
    <w:p w14:paraId="3F5E1CE9">
      <w:pPr>
        <w:pStyle w:val="9"/>
        <w:keepNext w:val="0"/>
        <w:keepLines w:val="0"/>
        <w:pageBreakBefore w:val="0"/>
        <w:widowControl/>
        <w:numPr>
          <w:ilvl w:val="0"/>
          <w:numId w:val="0"/>
        </w:numPr>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color w:val="000000"/>
          <w:sz w:val="32"/>
          <w:szCs w:val="32"/>
          <w:highlight w:val="none"/>
          <w:lang w:val="en-US"/>
        </w:rPr>
        <w:t>林芝市</w:t>
      </w:r>
      <w:r>
        <w:rPr>
          <w:rFonts w:hint="eastAsia" w:ascii="仿宋" w:hAnsi="仿宋" w:eastAsia="仿宋" w:cs="仿宋"/>
          <w:b w:val="0"/>
          <w:bCs w:val="0"/>
          <w:i w:val="0"/>
          <w:iCs w:val="0"/>
          <w:caps w:val="0"/>
          <w:color w:val="000000"/>
          <w:spacing w:val="0"/>
          <w:kern w:val="0"/>
          <w:sz w:val="32"/>
          <w:szCs w:val="32"/>
          <w:lang w:val="en-US" w:eastAsia="zh-CN"/>
        </w:rPr>
        <w:t>消防救援支队</w:t>
      </w:r>
      <w:r>
        <w:rPr>
          <w:rFonts w:hint="eastAsia" w:ascii="仿宋" w:hAnsi="仿宋" w:eastAsia="仿宋" w:cs="仿宋"/>
          <w:b w:val="0"/>
          <w:bCs w:val="0"/>
          <w:i w:val="0"/>
          <w:iCs w:val="0"/>
          <w:caps w:val="0"/>
          <w:color w:val="000000"/>
          <w:spacing w:val="0"/>
          <w:kern w:val="0"/>
          <w:sz w:val="32"/>
          <w:szCs w:val="32"/>
          <w:highlight w:val="none"/>
          <w:lang w:val="en-US" w:eastAsia="zh-CN"/>
        </w:rPr>
        <w:t>是由西藏自治区消防救援总队负责管理，是消防救援队伍的领导指挥机关。主要职能是:</w:t>
      </w:r>
    </w:p>
    <w:p w14:paraId="464DC819">
      <w:pPr>
        <w:pStyle w:val="9"/>
        <w:keepNext w:val="0"/>
        <w:keepLines w:val="0"/>
        <w:pageBreakBefore w:val="0"/>
        <w:widowControl/>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bookmarkStart w:id="8" w:name="_Toc31453"/>
      <w:r>
        <w:rPr>
          <w:rFonts w:hint="eastAsia" w:ascii="仿宋" w:hAnsi="仿宋" w:eastAsia="仿宋" w:cs="仿宋"/>
          <w:b w:val="0"/>
          <w:bCs w:val="0"/>
          <w:i w:val="0"/>
          <w:iCs w:val="0"/>
          <w:caps w:val="0"/>
          <w:color w:val="000000"/>
          <w:spacing w:val="0"/>
          <w:kern w:val="0"/>
          <w:sz w:val="32"/>
          <w:szCs w:val="32"/>
          <w:highlight w:val="none"/>
          <w:lang w:val="en-US" w:eastAsia="zh-CN"/>
        </w:rPr>
        <w:t>（1）</w:t>
      </w:r>
      <w:bookmarkEnd w:id="8"/>
      <w:r>
        <w:rPr>
          <w:rFonts w:hint="eastAsia" w:ascii="仿宋" w:hAnsi="仿宋" w:eastAsia="仿宋" w:cs="仿宋"/>
          <w:b w:val="0"/>
          <w:bCs w:val="0"/>
          <w:i w:val="0"/>
          <w:iCs w:val="0"/>
          <w:caps w:val="0"/>
          <w:color w:val="000000"/>
          <w:spacing w:val="0"/>
          <w:kern w:val="0"/>
          <w:sz w:val="32"/>
          <w:szCs w:val="32"/>
          <w:highlight w:val="none"/>
          <w:lang w:val="en-US" w:eastAsia="zh-CN"/>
        </w:rPr>
        <w:t>组织指导城乡综合性消防救援工作，负责指挥调度相关灾害事故救援行动。</w:t>
      </w:r>
    </w:p>
    <w:p w14:paraId="2DBB5CCB">
      <w:pPr>
        <w:pStyle w:val="9"/>
        <w:keepNext w:val="0"/>
        <w:keepLines w:val="0"/>
        <w:pageBreakBefore w:val="0"/>
        <w:widowControl/>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i w:val="0"/>
          <w:iCs w:val="0"/>
          <w:caps w:val="0"/>
          <w:color w:val="000000"/>
          <w:spacing w:val="0"/>
          <w:kern w:val="0"/>
          <w:sz w:val="32"/>
          <w:szCs w:val="32"/>
          <w:highlight w:val="none"/>
          <w:lang w:val="en-US" w:eastAsia="zh-CN"/>
        </w:rPr>
        <w:t>（2）参与起草消防法律法规和规章草案，拟订消防技术标准并监督实施，组织指导火灾预防、消防监督执法以及火灾事故调查处理相关工作，依法行使消防安全综合监管职能。</w:t>
      </w:r>
    </w:p>
    <w:p w14:paraId="52BACFE0">
      <w:pPr>
        <w:pStyle w:val="9"/>
        <w:keepNext w:val="0"/>
        <w:keepLines w:val="0"/>
        <w:pageBreakBefore w:val="0"/>
        <w:widowControl/>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i w:val="0"/>
          <w:iCs w:val="0"/>
          <w:caps w:val="0"/>
          <w:color w:val="000000"/>
          <w:spacing w:val="0"/>
          <w:kern w:val="0"/>
          <w:sz w:val="32"/>
          <w:szCs w:val="32"/>
          <w:highlight w:val="none"/>
          <w:lang w:val="en-US" w:eastAsia="zh-CN"/>
        </w:rPr>
        <w:t>（3）负责消防救援队伍综合性消防救援预案编制、战术研究，组织指导执勤备战、训练演练等工作。</w:t>
      </w:r>
    </w:p>
    <w:p w14:paraId="5489BC38">
      <w:pPr>
        <w:pStyle w:val="9"/>
        <w:keepNext w:val="0"/>
        <w:keepLines w:val="0"/>
        <w:pageBreakBefore w:val="0"/>
        <w:widowControl/>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i w:val="0"/>
          <w:iCs w:val="0"/>
          <w:caps w:val="0"/>
          <w:color w:val="000000"/>
          <w:spacing w:val="0"/>
          <w:kern w:val="0"/>
          <w:sz w:val="32"/>
          <w:szCs w:val="32"/>
          <w:highlight w:val="none"/>
          <w:lang w:val="en-US" w:eastAsia="zh-CN"/>
        </w:rPr>
        <w:t>（4）组织指导消防救援信息化和应急通信建设，指导开展相关救援行动应急通信保障工作。</w:t>
      </w:r>
    </w:p>
    <w:p w14:paraId="6213B900">
      <w:pPr>
        <w:pStyle w:val="9"/>
        <w:keepNext w:val="0"/>
        <w:keepLines w:val="0"/>
        <w:pageBreakBefore w:val="0"/>
        <w:widowControl/>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i w:val="0"/>
          <w:iCs w:val="0"/>
          <w:caps w:val="0"/>
          <w:color w:val="000000"/>
          <w:spacing w:val="0"/>
          <w:kern w:val="0"/>
          <w:sz w:val="32"/>
          <w:szCs w:val="32"/>
          <w:highlight w:val="none"/>
          <w:lang w:val="en-US" w:eastAsia="zh-CN"/>
        </w:rPr>
        <w:t>（5）负责消防救援队伍建设、管理和消防应急救援专业队伍规划、建设与调度指挥。组织指导社会消防力量建设，参与组织协调动员各类社会救援力量参加救援任务。</w:t>
      </w:r>
    </w:p>
    <w:p w14:paraId="1F8C8064">
      <w:pPr>
        <w:pStyle w:val="9"/>
        <w:keepNext w:val="0"/>
        <w:keepLines w:val="0"/>
        <w:pageBreakBefore w:val="0"/>
        <w:widowControl/>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i w:val="0"/>
          <w:iCs w:val="0"/>
          <w:caps w:val="0"/>
          <w:color w:val="000000"/>
          <w:spacing w:val="0"/>
          <w:kern w:val="0"/>
          <w:sz w:val="32"/>
          <w:szCs w:val="32"/>
          <w:highlight w:val="none"/>
          <w:lang w:val="en-US" w:eastAsia="zh-CN"/>
        </w:rPr>
        <w:t>（6）组织指导消防安全宣传教育工作。</w:t>
      </w:r>
    </w:p>
    <w:p w14:paraId="4983C8DB">
      <w:pPr>
        <w:pStyle w:val="9"/>
        <w:keepNext w:val="0"/>
        <w:keepLines w:val="0"/>
        <w:pageBreakBefore w:val="0"/>
        <w:widowControl/>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i w:val="0"/>
          <w:iCs w:val="0"/>
          <w:caps w:val="0"/>
          <w:color w:val="000000"/>
          <w:spacing w:val="0"/>
          <w:kern w:val="0"/>
          <w:sz w:val="32"/>
          <w:szCs w:val="32"/>
          <w:highlight w:val="none"/>
          <w:lang w:val="en-US" w:eastAsia="zh-CN"/>
        </w:rPr>
        <w:t>（7）管理消防救援队伍事业单位。</w:t>
      </w:r>
    </w:p>
    <w:p w14:paraId="0DC0F975">
      <w:pPr>
        <w:pStyle w:val="9"/>
        <w:keepNext w:val="0"/>
        <w:keepLines w:val="0"/>
        <w:pageBreakBefore w:val="0"/>
        <w:widowControl/>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i w:val="0"/>
          <w:iCs w:val="0"/>
          <w:caps w:val="0"/>
          <w:color w:val="000000"/>
          <w:spacing w:val="0"/>
          <w:kern w:val="0"/>
          <w:sz w:val="32"/>
          <w:szCs w:val="32"/>
          <w:highlight w:val="none"/>
          <w:lang w:val="en-US" w:eastAsia="zh-CN"/>
        </w:rPr>
        <w:t>（8）完成西藏自治区消防救援总队交办的跨区域应急救援等其他任务。</w:t>
      </w:r>
    </w:p>
    <w:p w14:paraId="75A0D9EE">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3" w:firstLineChars="200"/>
        <w:textAlignment w:val="auto"/>
        <w:outlineLvl w:val="1"/>
        <w:rPr>
          <w:rFonts w:hint="eastAsia" w:ascii="仿宋" w:hAnsi="仿宋" w:eastAsia="仿宋" w:cs="仿宋"/>
          <w:b/>
          <w:bCs/>
          <w:sz w:val="32"/>
          <w:szCs w:val="32"/>
          <w:highlight w:val="none"/>
        </w:rPr>
      </w:pPr>
      <w:bookmarkStart w:id="9" w:name="_Toc3803"/>
      <w:r>
        <w:rPr>
          <w:rFonts w:hint="eastAsia" w:ascii="仿宋" w:hAnsi="仿宋" w:eastAsia="仿宋" w:cs="仿宋"/>
          <w:b/>
          <w:bCs/>
          <w:sz w:val="32"/>
          <w:szCs w:val="32"/>
          <w:highlight w:val="none"/>
        </w:rPr>
        <w:t>（二）机构设置情况</w:t>
      </w:r>
      <w:bookmarkEnd w:id="9"/>
    </w:p>
    <w:p w14:paraId="2BA1166D">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b/>
          <w:bCs/>
          <w:sz w:val="32"/>
          <w:szCs w:val="32"/>
          <w:highlight w:val="yellow"/>
        </w:rPr>
      </w:pPr>
      <w:r>
        <w:rPr>
          <w:rFonts w:hint="eastAsia" w:ascii="仿宋" w:hAnsi="仿宋" w:eastAsia="仿宋" w:cs="仿宋"/>
          <w:b w:val="0"/>
          <w:bCs w:val="0"/>
          <w:i w:val="0"/>
          <w:iCs w:val="0"/>
          <w:caps w:val="0"/>
          <w:color w:val="000000"/>
          <w:spacing w:val="0"/>
          <w:kern w:val="0"/>
          <w:sz w:val="32"/>
          <w:szCs w:val="32"/>
          <w:highlight w:val="none"/>
          <w:lang w:val="en-US" w:eastAsia="zh-CN"/>
        </w:rPr>
        <w:t>市消防支队未提供三定方案，无法得知部门内设机构。</w:t>
      </w:r>
    </w:p>
    <w:p w14:paraId="0FF22825">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3" w:firstLineChars="200"/>
        <w:textAlignment w:val="auto"/>
        <w:outlineLvl w:val="1"/>
        <w:rPr>
          <w:rFonts w:hint="eastAsia" w:ascii="仿宋" w:hAnsi="仿宋" w:eastAsia="仿宋" w:cs="仿宋"/>
          <w:b/>
          <w:bCs/>
          <w:sz w:val="32"/>
          <w:szCs w:val="32"/>
          <w:highlight w:val="none"/>
        </w:rPr>
      </w:pPr>
      <w:bookmarkStart w:id="10" w:name="_Toc10610"/>
      <w:r>
        <w:rPr>
          <w:rFonts w:hint="eastAsia" w:ascii="仿宋" w:hAnsi="仿宋" w:eastAsia="仿宋" w:cs="仿宋"/>
          <w:b/>
          <w:bCs/>
          <w:sz w:val="32"/>
          <w:szCs w:val="32"/>
          <w:highlight w:val="none"/>
        </w:rPr>
        <w:t>（三）人员编制情况</w:t>
      </w:r>
      <w:bookmarkEnd w:id="10"/>
    </w:p>
    <w:p w14:paraId="1233DD38">
      <w:pPr>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bCs w:val="0"/>
          <w:color w:val="000000"/>
          <w:kern w:val="0"/>
          <w:sz w:val="32"/>
          <w:szCs w:val="32"/>
          <w:highlight w:val="yellow"/>
          <w:lang w:val="en-US" w:eastAsia="zh-CN"/>
        </w:rPr>
      </w:pPr>
      <w:r>
        <w:rPr>
          <w:rFonts w:hint="eastAsia" w:ascii="仿宋" w:hAnsi="仿宋" w:eastAsia="仿宋" w:cs="仿宋"/>
          <w:bCs w:val="0"/>
          <w:color w:val="000000"/>
          <w:kern w:val="0"/>
          <w:sz w:val="32"/>
          <w:szCs w:val="32"/>
          <w:highlight w:val="none"/>
          <w:lang w:val="en-US" w:eastAsia="zh-CN"/>
        </w:rPr>
        <w:t>截至2023年</w:t>
      </w:r>
      <w:r>
        <w:rPr>
          <w:rFonts w:hint="eastAsia" w:ascii="仿宋" w:hAnsi="仿宋" w:eastAsia="仿宋" w:cs="仿宋"/>
          <w:color w:val="000000"/>
          <w:kern w:val="0"/>
          <w:sz w:val="32"/>
          <w:szCs w:val="32"/>
          <w:highlight w:val="none"/>
          <w:lang w:val="en-US" w:eastAsia="zh-CN"/>
        </w:rPr>
        <w:t>12月31日，</w:t>
      </w:r>
      <w:r>
        <w:rPr>
          <w:rFonts w:hint="eastAsia" w:ascii="仿宋" w:hAnsi="仿宋" w:eastAsia="仿宋" w:cs="仿宋"/>
          <w:b w:val="0"/>
          <w:bCs w:val="0"/>
          <w:i w:val="0"/>
          <w:iCs w:val="0"/>
          <w:caps w:val="0"/>
          <w:color w:val="000000"/>
          <w:spacing w:val="0"/>
          <w:kern w:val="0"/>
          <w:sz w:val="32"/>
          <w:szCs w:val="32"/>
          <w:highlight w:val="none"/>
          <w:lang w:val="en-US" w:eastAsia="zh-CN"/>
        </w:rPr>
        <w:t>市消防支队核定编制名额为77名，</w:t>
      </w:r>
      <w:r>
        <w:rPr>
          <w:rFonts w:hint="eastAsia" w:ascii="仿宋" w:hAnsi="仿宋" w:eastAsia="仿宋" w:cs="仿宋"/>
          <w:b w:val="0"/>
          <w:bCs w:val="0"/>
          <w:i w:val="0"/>
          <w:iCs w:val="0"/>
          <w:caps w:val="0"/>
          <w:color w:val="000000"/>
          <w:spacing w:val="0"/>
          <w:kern w:val="0"/>
          <w:sz w:val="32"/>
          <w:szCs w:val="32"/>
          <w:lang w:val="en-US" w:eastAsia="zh-CN"/>
        </w:rPr>
        <w:t>在编</w:t>
      </w:r>
      <w:r>
        <w:rPr>
          <w:rFonts w:hint="eastAsia" w:ascii="仿宋" w:hAnsi="仿宋" w:eastAsia="仿宋" w:cs="仿宋"/>
          <w:b w:val="0"/>
          <w:bCs w:val="0"/>
          <w:i w:val="0"/>
          <w:iCs w:val="0"/>
          <w:caps w:val="0"/>
          <w:color w:val="000000"/>
          <w:spacing w:val="0"/>
          <w:kern w:val="0"/>
          <w:sz w:val="32"/>
          <w:szCs w:val="32"/>
          <w:highlight w:val="none"/>
          <w:lang w:val="en-US" w:eastAsia="zh-CN"/>
        </w:rPr>
        <w:t>人数为77人。</w:t>
      </w:r>
    </w:p>
    <w:p w14:paraId="74DA645F">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3" w:firstLineChars="200"/>
        <w:textAlignment w:val="auto"/>
        <w:outlineLvl w:val="1"/>
        <w:rPr>
          <w:rFonts w:hint="eastAsia" w:ascii="仿宋" w:hAnsi="仿宋" w:eastAsia="仿宋" w:cs="仿宋"/>
          <w:b/>
          <w:bCs/>
          <w:sz w:val="32"/>
          <w:szCs w:val="32"/>
          <w:highlight w:val="none"/>
        </w:rPr>
      </w:pPr>
      <w:bookmarkStart w:id="11" w:name="_Toc8355"/>
      <w:r>
        <w:rPr>
          <w:rFonts w:hint="eastAsia" w:ascii="仿宋" w:hAnsi="仿宋" w:eastAsia="仿宋" w:cs="仿宋"/>
          <w:b/>
          <w:bCs/>
          <w:sz w:val="32"/>
          <w:szCs w:val="32"/>
          <w:highlight w:val="none"/>
        </w:rPr>
        <w:t>（四）年度总体工作和重点工作任务</w:t>
      </w:r>
      <w:bookmarkEnd w:id="11"/>
    </w:p>
    <w:p w14:paraId="1D29E0E5">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1.年度总体工作</w:t>
      </w:r>
    </w:p>
    <w:p w14:paraId="6B128F5B">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bCs w:val="0"/>
          <w:color w:val="000000"/>
          <w:kern w:val="0"/>
          <w:sz w:val="32"/>
          <w:szCs w:val="32"/>
          <w:highlight w:val="none"/>
          <w:lang w:val="en-US" w:eastAsia="zh-CN"/>
        </w:rPr>
      </w:pPr>
      <w:r>
        <w:rPr>
          <w:rFonts w:hint="eastAsia" w:ascii="仿宋" w:hAnsi="仿宋" w:eastAsia="仿宋" w:cs="仿宋"/>
          <w:bCs w:val="0"/>
          <w:color w:val="000000"/>
          <w:kern w:val="0"/>
          <w:sz w:val="32"/>
          <w:szCs w:val="32"/>
          <w:highlight w:val="none"/>
          <w:lang w:val="en-US" w:eastAsia="zh-CN"/>
        </w:rPr>
        <w:t>2023年，在国家消防救援局、西藏消防救援总队的坚强领导下，林芝市消防救援支队深入贯彻落实习近平新时代中国特色社会主义思想和重要授旗训词精神，积极践行全国消防工作会议和西藏消防救援总队党委扩大会议要求，坚持谋发展、促打赢、守平安，围绕“坚守精神高地、勇创一流业绩”总目标，砥砺传承西藏消防精神品质，队伍实现了高质量的“双稳定”，呈现良好跨越发展态势。</w:t>
      </w:r>
    </w:p>
    <w:p w14:paraId="5BBE1379">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2.重点工作任务</w:t>
      </w:r>
    </w:p>
    <w:p w14:paraId="3342BEB8">
      <w:pPr>
        <w:pStyle w:val="9"/>
        <w:keepNext w:val="0"/>
        <w:keepLines w:val="0"/>
        <w:pageBreakBefore w:val="0"/>
        <w:widowControl/>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事业发展迈出新步伐。支队积极融入林芝市“改革开放先行区”建设大局，充分释放干事创业的强劲动力。西藏自治区党委书记王君正，应急管理部党委委员、国家消防救援局局长琼色等5名省部级领导和总队主要领导多次到支队调研慰问、指导工作；总队主官、林芝市委、市政府和各县（区）主要领导先后23次批示肯定消防工作，市委常委会、市政府常务会7次研究消防议题。特别是在林芝市二届市委第40次常委会上，市委书记敖刘全专题部署消防工作，要求全市各级加大对消防工作支持和关心力度。</w:t>
      </w:r>
    </w:p>
    <w:p w14:paraId="5ECE0798">
      <w:pPr>
        <w:pStyle w:val="9"/>
        <w:keepNext w:val="0"/>
        <w:keepLines w:val="0"/>
        <w:pageBreakBefore w:val="0"/>
        <w:widowControl/>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班子建设得到新提升。支队党委坚持“从党委做起、对事业负责”，狠抓班子自身建设，严格执行集体领导下的首长分工负责制，贯彻落实党委“七议”制度，规范落实党内政治生活，持续加强各级书记队伍建设，带头推动第二批主题教育走深走实，队伍各级凝聚力战斗力不断增强。自上而下不断加大全面从严治党力度，建立新型监督体系，保持高压执纪态势，持之以恒落实中央八项规定，锲而不舍纠治“四风”，队伍政治生态、干事创业风气持续向好。</w:t>
      </w:r>
    </w:p>
    <w:p w14:paraId="7F19D892">
      <w:pPr>
        <w:pStyle w:val="9"/>
        <w:keepNext w:val="0"/>
        <w:keepLines w:val="0"/>
        <w:pageBreakBefore w:val="0"/>
        <w:widowControl/>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保民平安取得新成果。支队牢固树立“人民至上、生命至上”的理念，着力推进消防安全治理体系和治理能力现代化，狠抓应急救援和实战能力建设，诠释了“竭诚为民、矢志护民”的人民情怀。支队全年共接警771起，出动车辆1073辆次，人员4688人次，抢救被困人员77人，疏散被困人员56人，圆满完成了西藏消防雪崩救援史上掩埋路面最长、施救难度最大、被困车辆和人员最多的“1·17”多雄拉隧道口雪崩事故救援，成功处置“3·16”“5·13”两次帮辛乡车辆坠崖、“6·28”措木及日景区森林火情和“11·26”YK区越线火情，顺利实现“全国两会”“林芝市第二十届桃花旅游文化节”“重要领导来林调研”“第三届中国西藏环喜马拉雅国际合作论坛”“2023第四届跨喜马拉雅国际公路自行车极限赛”“雅鲁藏布江生态旅游文化节”等重大消防安保期间“零冒烟、零失火”。</w:t>
      </w:r>
    </w:p>
    <w:p w14:paraId="248FB6F5">
      <w:pPr>
        <w:pStyle w:val="9"/>
        <w:keepNext w:val="0"/>
        <w:keepLines w:val="0"/>
        <w:pageBreakBefore w:val="0"/>
        <w:widowControl/>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(4)基层治理开创新局面。支队在全区率先出台《林芝市公共消防设施管理办法》，争取资金386万元推动老旧城区消防车道治理和消火栓建设工作，新建消火栓37处、维修消防栓11个；健全基层应急消防组织架构，实体化运行“一委一队一所”体系，在全市建立了56个乡镇（街道）消防安全委员会和56个消防工作所，并组织召开全市公安消防工作会议，将全市便民警务站、边境管理派出所、乡镇网格、区域联防组织等基层人员纳入监管力量，实现基层消防工作监督全覆盖；与边境县边境管理大队展开合作，打造5个行政村、2个边境警务室基层边境消防安全治理示范村及2处消防标准化管理旅游景区示范单位。</w:t>
      </w:r>
    </w:p>
    <w:p w14:paraId="771A35E4">
      <w:pPr>
        <w:pStyle w:val="9"/>
        <w:keepNext w:val="0"/>
        <w:keepLines w:val="0"/>
        <w:pageBreakBefore w:val="0"/>
        <w:widowControl/>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5）队伍形象达到新高度。全市消防救援队伍有效防范化解安全风险，积极应对处置各类灾害事故，救民于水火、助民于危难，得到了各级党委、政府的高度肯定和人民群众的一致赞扬。支队荣获“全国消防安全专项整治三年行动工作”先进支队，3个集体、4名个人分别荣获“西藏自治区区（中）直单位先进党支部”“西藏自治区三八红旗手标兵”“林芝市民族团结进步模范单位”“林芝青年五四奖章”等表彰。支队比武集训队在2023年全区实战化大练兵比武竞赛中取得国家队团体第一名、政府专职队团体第三名优异成绩。</w:t>
      </w:r>
    </w:p>
    <w:p w14:paraId="3A2BCB7C">
      <w:pPr>
        <w:pStyle w:val="9"/>
        <w:keepNext w:val="0"/>
        <w:keepLines w:val="0"/>
        <w:pageBreakBefore w:val="0"/>
        <w:widowControl/>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6）保障基础迈向新台阶。2023年，全市地方业务经费1.14亿元，较去年增幅40.83%。2个大队经费超过1000万元，在全区大队级单位内处于前列。全市队伍落实到位装备达标建设经费3643.77万元，超额完成两年2836万元指标要求。为基层单位调配价值超过1800余万元的各类消防车18辆、装备器材1876件套。支队建成全区首个支队级消防装备维修中心并实体化运行，有力提升装备使用率，延长使用周期，受到“央视频”和“人民日报客户端”报道宣传，得到指战员一致好评。同时支队积极推动“十四五”规划中央投资5500万元、地方配套投资1406万元的3个基本建设项目落地，已完成招投标工作。总投资1300万元覆盖整个西藏藏东南地区的消防应急救援装备器材储备库项目即将建成。</w:t>
      </w:r>
    </w:p>
    <w:p w14:paraId="5E2248C2">
      <w:pPr>
        <w:keepNext w:val="0"/>
        <w:keepLines w:val="0"/>
        <w:pageBreakBefore w:val="0"/>
        <w:widowControl w:val="0"/>
        <w:kinsoku/>
        <w:wordWrap/>
        <w:overflowPunct/>
        <w:topLinePunct w:val="0"/>
        <w:autoSpaceDE/>
        <w:autoSpaceDN/>
        <w:bidi w:val="0"/>
        <w:adjustRightInd/>
        <w:snapToGrid/>
        <w:ind w:firstLine="482"/>
        <w:textAlignment w:val="auto"/>
        <w:outlineLvl w:val="1"/>
        <w:rPr>
          <w:rFonts w:hint="eastAsia" w:ascii="仿宋" w:hAnsi="仿宋" w:eastAsia="仿宋" w:cs="仿宋"/>
          <w:b/>
          <w:bCs/>
          <w:sz w:val="32"/>
          <w:szCs w:val="32"/>
          <w:highlight w:val="none"/>
        </w:rPr>
      </w:pPr>
      <w:bookmarkStart w:id="12" w:name="_Toc20579"/>
      <w:r>
        <w:rPr>
          <w:rFonts w:hint="eastAsia" w:ascii="仿宋" w:hAnsi="仿宋" w:eastAsia="仿宋" w:cs="仿宋"/>
          <w:b/>
          <w:bCs/>
          <w:sz w:val="32"/>
          <w:szCs w:val="32"/>
          <w:highlight w:val="none"/>
        </w:rPr>
        <w:t>（五）部门预算批复及整体支出安排情况</w:t>
      </w:r>
      <w:bookmarkEnd w:id="12"/>
    </w:p>
    <w:p w14:paraId="4CC18501">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1.预算批复情况</w:t>
      </w:r>
    </w:p>
    <w:p w14:paraId="09259E87">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2023年</w:t>
      </w:r>
      <w:r>
        <w:rPr>
          <w:rFonts w:hint="eastAsia" w:ascii="仿宋" w:hAnsi="仿宋" w:eastAsia="仿宋" w:cs="仿宋"/>
          <w:b w:val="0"/>
          <w:bCs w:val="0"/>
          <w:i w:val="0"/>
          <w:iCs w:val="0"/>
          <w:caps w:val="0"/>
          <w:color w:val="000000"/>
          <w:spacing w:val="0"/>
          <w:kern w:val="0"/>
          <w:sz w:val="32"/>
          <w:szCs w:val="32"/>
          <w:lang w:val="en-US" w:eastAsia="zh-CN"/>
        </w:rPr>
        <w:t>市消防支队</w:t>
      </w:r>
      <w:r>
        <w:rPr>
          <w:rFonts w:hint="eastAsia" w:ascii="仿宋" w:hAnsi="仿宋" w:eastAsia="仿宋" w:cs="仿宋"/>
          <w:sz w:val="32"/>
          <w:szCs w:val="32"/>
          <w:highlight w:val="none"/>
        </w:rPr>
        <w:t>年初预算数</w:t>
      </w:r>
      <w:r>
        <w:rPr>
          <w:rFonts w:hint="eastAsia" w:ascii="仿宋" w:hAnsi="仿宋" w:eastAsia="仿宋" w:cs="仿宋"/>
          <w:sz w:val="32"/>
          <w:szCs w:val="32"/>
          <w:highlight w:val="none"/>
          <w:lang w:val="en-US" w:eastAsia="zh-CN"/>
        </w:rPr>
        <w:t>4,763</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51万</w:t>
      </w:r>
      <w:r>
        <w:rPr>
          <w:rFonts w:hint="eastAsia" w:ascii="仿宋" w:hAnsi="仿宋" w:eastAsia="仿宋" w:cs="仿宋"/>
          <w:sz w:val="32"/>
          <w:szCs w:val="32"/>
          <w:highlight w:val="none"/>
        </w:rPr>
        <w:t>元，综合</w:t>
      </w:r>
      <w:r>
        <w:rPr>
          <w:rFonts w:hint="eastAsia" w:ascii="仿宋" w:hAnsi="仿宋" w:eastAsia="仿宋" w:cs="仿宋"/>
          <w:sz w:val="32"/>
          <w:szCs w:val="32"/>
          <w:highlight w:val="none"/>
          <w:lang w:val="en-US" w:eastAsia="zh-CN"/>
        </w:rPr>
        <w:t>调整后调增数额为6,785.29万</w:t>
      </w:r>
      <w:r>
        <w:rPr>
          <w:rFonts w:hint="eastAsia" w:ascii="仿宋" w:hAnsi="仿宋" w:eastAsia="仿宋" w:cs="仿宋"/>
          <w:sz w:val="32"/>
          <w:szCs w:val="32"/>
          <w:highlight w:val="none"/>
        </w:rPr>
        <w:t>元</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调整后全年预算金额为</w:t>
      </w:r>
      <w:r>
        <w:rPr>
          <w:rFonts w:hint="eastAsia" w:ascii="仿宋" w:hAnsi="仿宋" w:eastAsia="仿宋" w:cs="仿宋"/>
          <w:sz w:val="32"/>
          <w:szCs w:val="32"/>
          <w:highlight w:val="none"/>
          <w:lang w:val="en-US" w:eastAsia="zh-CN"/>
        </w:rPr>
        <w:t>11,548</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80万</w:t>
      </w:r>
      <w:r>
        <w:rPr>
          <w:rFonts w:hint="eastAsia" w:ascii="仿宋" w:hAnsi="仿宋" w:eastAsia="仿宋" w:cs="仿宋"/>
          <w:sz w:val="32"/>
          <w:szCs w:val="32"/>
          <w:highlight w:val="none"/>
        </w:rPr>
        <w:t>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其中：一般公共预算11,455.40万元、政府性基金预算0.00万元、国有资本经营预算0.00万元、年初结转结余93.40万元。</w:t>
      </w:r>
    </w:p>
    <w:p w14:paraId="116DA8DD">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2.决算情况</w:t>
      </w:r>
    </w:p>
    <w:p w14:paraId="2872E7C8">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2023年</w:t>
      </w:r>
      <w:r>
        <w:rPr>
          <w:rFonts w:hint="eastAsia" w:ascii="仿宋" w:hAnsi="仿宋" w:eastAsia="仿宋" w:cs="仿宋"/>
          <w:b w:val="0"/>
          <w:bCs w:val="0"/>
          <w:i w:val="0"/>
          <w:iCs w:val="0"/>
          <w:caps w:val="0"/>
          <w:color w:val="000000"/>
          <w:spacing w:val="0"/>
          <w:kern w:val="0"/>
          <w:sz w:val="32"/>
          <w:szCs w:val="32"/>
          <w:lang w:val="en-US" w:eastAsia="zh-CN"/>
        </w:rPr>
        <w:t>市消防支队</w:t>
      </w:r>
      <w:r>
        <w:rPr>
          <w:rFonts w:hint="eastAsia" w:ascii="仿宋" w:hAnsi="仿宋" w:eastAsia="仿宋" w:cs="仿宋"/>
          <w:sz w:val="32"/>
          <w:szCs w:val="32"/>
          <w:highlight w:val="none"/>
        </w:rPr>
        <w:t>决算数为</w:t>
      </w:r>
      <w:r>
        <w:rPr>
          <w:rFonts w:hint="eastAsia" w:ascii="仿宋" w:hAnsi="仿宋" w:eastAsia="仿宋" w:cs="仿宋"/>
          <w:sz w:val="32"/>
          <w:szCs w:val="32"/>
          <w:highlight w:val="none"/>
          <w:lang w:val="en-US" w:eastAsia="zh-CN"/>
        </w:rPr>
        <w:t>5,374</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86万</w:t>
      </w:r>
      <w:r>
        <w:rPr>
          <w:rFonts w:hint="eastAsia" w:ascii="仿宋" w:hAnsi="仿宋" w:eastAsia="仿宋" w:cs="仿宋"/>
          <w:sz w:val="32"/>
          <w:szCs w:val="32"/>
          <w:highlight w:val="none"/>
        </w:rPr>
        <w:t>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其中：基本支出金额为0.00万元，项目支出金额为5,374</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86万元。</w:t>
      </w:r>
    </w:p>
    <w:p w14:paraId="5C9F6B5F">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outlineLvl w:val="0"/>
        <w:rPr>
          <w:rFonts w:hint="eastAsia" w:ascii="仿宋" w:hAnsi="仿宋" w:eastAsia="仿宋" w:cs="仿宋"/>
          <w:b/>
          <w:bCs/>
          <w:sz w:val="32"/>
          <w:szCs w:val="32"/>
          <w:highlight w:val="none"/>
        </w:rPr>
      </w:pPr>
      <w:bookmarkStart w:id="13" w:name="_Toc670"/>
      <w:r>
        <w:rPr>
          <w:rFonts w:hint="eastAsia" w:ascii="仿宋" w:hAnsi="仿宋" w:eastAsia="仿宋" w:cs="仿宋"/>
          <w:b/>
          <w:bCs/>
          <w:sz w:val="32"/>
          <w:szCs w:val="32"/>
          <w:highlight w:val="none"/>
          <w:lang w:bidi="ar"/>
        </w:rPr>
        <w:t>二、绩效评价工作开展情况</w:t>
      </w:r>
      <w:bookmarkEnd w:id="13"/>
    </w:p>
    <w:p w14:paraId="363D7B9A">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outlineLvl w:val="1"/>
        <w:rPr>
          <w:rFonts w:hint="eastAsia" w:ascii="仿宋" w:hAnsi="仿宋" w:eastAsia="仿宋" w:cs="仿宋"/>
          <w:b/>
          <w:bCs/>
          <w:sz w:val="32"/>
          <w:szCs w:val="32"/>
          <w:highlight w:val="none"/>
        </w:rPr>
      </w:pPr>
      <w:bookmarkStart w:id="14" w:name="_Toc25386"/>
      <w:r>
        <w:rPr>
          <w:rFonts w:hint="eastAsia" w:ascii="仿宋" w:hAnsi="仿宋" w:eastAsia="仿宋" w:cs="仿宋"/>
          <w:b/>
          <w:bCs/>
          <w:sz w:val="32"/>
          <w:szCs w:val="32"/>
          <w:highlight w:val="none"/>
          <w:lang w:bidi="ar"/>
        </w:rPr>
        <w:t>（一）绩效评价目的、对象和范围</w:t>
      </w:r>
      <w:bookmarkEnd w:id="14"/>
    </w:p>
    <w:p w14:paraId="0488998C">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3" w:firstLineChars="200"/>
        <w:textAlignment w:val="auto"/>
        <w:rPr>
          <w:rFonts w:hint="eastAsia" w:ascii="仿宋" w:hAnsi="仿宋" w:eastAsia="仿宋" w:cs="仿宋"/>
          <w:sz w:val="32"/>
          <w:szCs w:val="32"/>
          <w:highlight w:val="none"/>
          <w:lang w:val="en"/>
        </w:rPr>
      </w:pPr>
      <w:r>
        <w:rPr>
          <w:rFonts w:hint="eastAsia" w:ascii="仿宋" w:hAnsi="仿宋" w:eastAsia="仿宋" w:cs="仿宋"/>
          <w:b/>
          <w:bCs/>
          <w:sz w:val="32"/>
          <w:szCs w:val="32"/>
          <w:highlight w:val="none"/>
          <w:lang w:bidi="ar"/>
        </w:rPr>
        <w:t xml:space="preserve"> </w:t>
      </w:r>
      <w:r>
        <w:rPr>
          <w:rFonts w:hint="eastAsia" w:ascii="仿宋" w:hAnsi="仿宋" w:eastAsia="仿宋" w:cs="仿宋"/>
          <w:sz w:val="32"/>
          <w:szCs w:val="32"/>
          <w:highlight w:val="none"/>
          <w:lang w:val="en"/>
        </w:rPr>
        <w:t>1.评价目的</w:t>
      </w:r>
    </w:p>
    <w:p w14:paraId="720FA594">
      <w:pPr>
        <w:pStyle w:val="4"/>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
        </w:rPr>
      </w:pPr>
      <w:r>
        <w:rPr>
          <w:rFonts w:hint="eastAsia" w:ascii="仿宋" w:hAnsi="仿宋" w:eastAsia="仿宋" w:cs="仿宋"/>
          <w:sz w:val="32"/>
          <w:szCs w:val="32"/>
          <w:highlight w:val="none"/>
          <w:lang w:val="en"/>
        </w:rPr>
        <w:t>本次评价根据《中共中央、国务院关于全面实施预算绩效管理的意见》（中发〔2018〕34 号）、西藏自治区人民政府《关于全面实施预算绩效管理的实施意见》（藏党发〔2020〕7号）部署的要求，以预算资金为主线，梳理部门预算执行过程中涉及的目标管理、预算管理、资产管理等内容，综合分析部门的管理效率，落实部门预算主体责任，提高部门资金、资产等资源统筹配置能力；以战略目标和职责目标为基础，综合评价部门履职结果，反映财政资金支出结果，提升部门整体预算绩效管理水平。</w:t>
      </w:r>
    </w:p>
    <w:p w14:paraId="6D73A6FC">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2.评价对象和范围</w:t>
      </w:r>
    </w:p>
    <w:p w14:paraId="771463EF">
      <w:pPr>
        <w:pStyle w:val="4"/>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b/>
          <w:bCs/>
          <w:sz w:val="32"/>
          <w:szCs w:val="32"/>
          <w:highlight w:val="none"/>
          <w:lang w:val="en"/>
        </w:rPr>
      </w:pPr>
      <w:r>
        <w:rPr>
          <w:rFonts w:hint="eastAsia" w:ascii="仿宋" w:hAnsi="仿宋" w:eastAsia="仿宋" w:cs="仿宋"/>
          <w:sz w:val="32"/>
          <w:szCs w:val="32"/>
          <w:highlight w:val="none"/>
          <w:lang w:val="en"/>
        </w:rPr>
        <w:t>本次评价对象为</w:t>
      </w:r>
      <w:r>
        <w:rPr>
          <w:rFonts w:hint="eastAsia" w:ascii="仿宋" w:hAnsi="仿宋" w:eastAsia="仿宋" w:cs="仿宋"/>
          <w:sz w:val="32"/>
          <w:szCs w:val="32"/>
          <w:highlight w:val="none"/>
          <w:lang w:val="en-US" w:eastAsia="zh-CN"/>
        </w:rPr>
        <w:t>市消防支队</w:t>
      </w:r>
      <w:r>
        <w:rPr>
          <w:rFonts w:hint="eastAsia" w:ascii="仿宋" w:hAnsi="仿宋" w:eastAsia="仿宋" w:cs="仿宋"/>
          <w:sz w:val="32"/>
          <w:szCs w:val="32"/>
          <w:highlight w:val="none"/>
          <w:lang w:val="en"/>
        </w:rPr>
        <w:t>，预算资金</w:t>
      </w:r>
      <w:r>
        <w:rPr>
          <w:rFonts w:hint="eastAsia" w:ascii="仿宋" w:hAnsi="仿宋" w:eastAsia="仿宋" w:cs="仿宋"/>
          <w:sz w:val="32"/>
          <w:szCs w:val="32"/>
          <w:highlight w:val="none"/>
          <w:lang w:val="en-US" w:eastAsia="zh-CN"/>
        </w:rPr>
        <w:t>11,548</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80万万</w:t>
      </w:r>
      <w:r>
        <w:rPr>
          <w:rFonts w:hint="eastAsia" w:ascii="仿宋" w:hAnsi="仿宋" w:eastAsia="仿宋" w:cs="仿宋"/>
          <w:sz w:val="32"/>
          <w:szCs w:val="32"/>
          <w:highlight w:val="none"/>
          <w:lang w:val="en" w:eastAsia="zh-CN"/>
        </w:rPr>
        <w:t>元</w:t>
      </w:r>
      <w:r>
        <w:rPr>
          <w:rFonts w:hint="eastAsia" w:ascii="仿宋" w:hAnsi="仿宋" w:eastAsia="仿宋" w:cs="仿宋"/>
          <w:sz w:val="32"/>
          <w:szCs w:val="32"/>
          <w:highlight w:val="none"/>
          <w:lang w:val="en"/>
        </w:rPr>
        <w:t>。评价时间范围：202</w:t>
      </w:r>
      <w:r>
        <w:rPr>
          <w:rFonts w:hint="eastAsia" w:ascii="仿宋" w:hAnsi="仿宋" w:eastAsia="仿宋" w:cs="仿宋"/>
          <w:sz w:val="32"/>
          <w:szCs w:val="32"/>
          <w:highlight w:val="none"/>
        </w:rPr>
        <w:t>3</w:t>
      </w:r>
      <w:r>
        <w:rPr>
          <w:rFonts w:hint="eastAsia" w:ascii="仿宋" w:hAnsi="仿宋" w:eastAsia="仿宋" w:cs="仿宋"/>
          <w:sz w:val="32"/>
          <w:szCs w:val="32"/>
          <w:highlight w:val="none"/>
          <w:lang w:val="en"/>
        </w:rPr>
        <w:t xml:space="preserve"> 年1月1日至 202</w:t>
      </w:r>
      <w:r>
        <w:rPr>
          <w:rFonts w:hint="eastAsia" w:ascii="仿宋" w:hAnsi="仿宋" w:eastAsia="仿宋" w:cs="仿宋"/>
          <w:sz w:val="32"/>
          <w:szCs w:val="32"/>
          <w:highlight w:val="none"/>
        </w:rPr>
        <w:t>3</w:t>
      </w:r>
      <w:r>
        <w:rPr>
          <w:rFonts w:hint="eastAsia" w:ascii="仿宋" w:hAnsi="仿宋" w:eastAsia="仿宋" w:cs="仿宋"/>
          <w:sz w:val="32"/>
          <w:szCs w:val="32"/>
          <w:highlight w:val="none"/>
          <w:lang w:val="en"/>
        </w:rPr>
        <w:t xml:space="preserve"> 年12月31日。</w:t>
      </w:r>
    </w:p>
    <w:p w14:paraId="10DC8BD5">
      <w:pPr>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3" w:firstLineChars="200"/>
        <w:jc w:val="left"/>
        <w:textAlignment w:val="auto"/>
        <w:outlineLvl w:val="1"/>
        <w:rPr>
          <w:rFonts w:hint="eastAsia" w:ascii="仿宋" w:hAnsi="仿宋" w:eastAsia="仿宋" w:cs="仿宋"/>
          <w:b/>
          <w:bCs/>
          <w:sz w:val="32"/>
          <w:szCs w:val="32"/>
          <w:highlight w:val="none"/>
        </w:rPr>
      </w:pPr>
      <w:bookmarkStart w:id="15" w:name="_Toc2914"/>
      <w:bookmarkStart w:id="16" w:name="_Toc4468"/>
      <w:bookmarkStart w:id="17" w:name="_Toc26810"/>
      <w:r>
        <w:rPr>
          <w:rFonts w:hint="eastAsia" w:ascii="仿宋" w:hAnsi="仿宋" w:eastAsia="仿宋" w:cs="仿宋"/>
          <w:b/>
          <w:bCs/>
          <w:sz w:val="32"/>
          <w:szCs w:val="32"/>
          <w:highlight w:val="none"/>
          <w:lang w:val="en"/>
        </w:rPr>
        <w:t>（</w:t>
      </w:r>
      <w:r>
        <w:rPr>
          <w:rFonts w:hint="eastAsia" w:ascii="仿宋" w:hAnsi="仿宋" w:eastAsia="仿宋" w:cs="仿宋"/>
          <w:b/>
          <w:bCs/>
          <w:sz w:val="32"/>
          <w:szCs w:val="32"/>
          <w:highlight w:val="none"/>
        </w:rPr>
        <w:t>二）</w:t>
      </w:r>
      <w:r>
        <w:rPr>
          <w:rFonts w:hint="eastAsia" w:ascii="仿宋" w:hAnsi="仿宋" w:eastAsia="仿宋" w:cs="仿宋"/>
          <w:b/>
          <w:bCs/>
          <w:sz w:val="32"/>
          <w:szCs w:val="32"/>
          <w:highlight w:val="none"/>
          <w:lang w:val="en-US" w:eastAsia="zh-CN"/>
        </w:rPr>
        <w:t>评价依据、</w:t>
      </w:r>
      <w:r>
        <w:rPr>
          <w:rFonts w:hint="eastAsia" w:ascii="仿宋" w:hAnsi="仿宋" w:eastAsia="仿宋" w:cs="仿宋"/>
          <w:b/>
          <w:bCs/>
          <w:sz w:val="32"/>
          <w:szCs w:val="32"/>
          <w:highlight w:val="none"/>
          <w:lang w:val="en"/>
        </w:rPr>
        <w:t>绩效评价原则、评价方法、评价标准、评价指标体系</w:t>
      </w:r>
      <w:bookmarkEnd w:id="15"/>
      <w:bookmarkEnd w:id="16"/>
      <w:bookmarkEnd w:id="17"/>
    </w:p>
    <w:p w14:paraId="01C1EB22">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评价依据</w:t>
      </w:r>
    </w:p>
    <w:p w14:paraId="7086D86A">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(1)《中华人民共和国预算法》</w:t>
      </w:r>
    </w:p>
    <w:p w14:paraId="19ED120D">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(2)《中华人民共和国预算法实施条例》</w:t>
      </w:r>
    </w:p>
    <w:p w14:paraId="63F42244">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(3)《中共中央国务院关于全面实施预算绩效管理的意见》（中发〔2018〕34号）</w:t>
      </w:r>
    </w:p>
    <w:p w14:paraId="27E56D3E">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(4)《国务院办公厅关于政府向社会力量购买服务的指导意见》（国办发〔2013〕96号）</w:t>
      </w:r>
    </w:p>
    <w:p w14:paraId="3C438D44">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(5)《财政支出绩效评价管理暂行办法》（财预〔2011〕285号）</w:t>
      </w:r>
    </w:p>
    <w:p w14:paraId="0D6A3A6A">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(6)《中共西藏自治区委员会西藏自治区人民政府关于全面实施预算绩效管理的实施意见》（藏党发〔2020〕7号）</w:t>
      </w:r>
    </w:p>
    <w:p w14:paraId="00EF509C">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(7)《西藏自治区财政支出预算绩效评价管理暂行办法》（藏财预字〔2018〕89号）</w:t>
      </w:r>
    </w:p>
    <w:p w14:paraId="525C2E48">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(8)《西藏自治区预算绩效评价指标体系框架》（藏财预〔2018〕174号）</w:t>
      </w:r>
    </w:p>
    <w:p w14:paraId="02AA6E39">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(9)其他相关法律法规。</w:t>
      </w:r>
    </w:p>
    <w:p w14:paraId="6C6EBCE1">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评价原则</w:t>
      </w:r>
    </w:p>
    <w:p w14:paraId="525E1FA5">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科学规范原则。绩效评价应当严格执行国家、自治区规定的程序、按照科学可行的要求执行。</w:t>
      </w:r>
    </w:p>
    <w:p w14:paraId="20A414DB">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客观公正原则。绩效评价应当符合真实、客观、公正的要求，做到指标科学、标准客观、权重合理、数据准确、资料可靠、程序规范、评价公正，绩效评价报告要内容完整、依据充分、分析透彻、逻辑清晰、客观公正。</w:t>
      </w:r>
    </w:p>
    <w:p w14:paraId="5931DA4F">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绩效相关原则。绩效评价应当针对具体支出及其产出绩效进行，评价指标与支出目标具有直接的联系，评价结果能够清晰反映支出和产出绩效之间的紧密对应关系。</w:t>
      </w:r>
    </w:p>
    <w:p w14:paraId="4016E067">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.评价方法</w:t>
      </w:r>
    </w:p>
    <w:p w14:paraId="169A4A25">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为确保评价过程、结论的科学与准确性，根据评价工作需要及部门特点，评价工作中主要采用包括比较法、因素分析法、公众评价法和其他评价方法等，以充分采集和核实评价所需要的基础数据资料，进行科学的分析处理，得出评价结论。</w:t>
      </w:r>
    </w:p>
    <w:p w14:paraId="7A031D27">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.评价标准</w:t>
      </w:r>
    </w:p>
    <w:p w14:paraId="5437AD3A">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本次绩效评价采用的评价标准主要为：</w:t>
      </w:r>
    </w:p>
    <w:p w14:paraId="7C212ECD">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（1）计划标准，本次评价中部分产出指标采用计划标准作为评价标准，计划标准来源于部门中长期发展规划、部门重点工作任务计划。</w:t>
      </w:r>
    </w:p>
    <w:p w14:paraId="53C67BD5">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（2）历史标准，在本次评价中部分效益指标采用历史标准作为评价标准，历史标准来源于以前年度相关数据统计。</w:t>
      </w:r>
    </w:p>
    <w:p w14:paraId="2B51D047">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（3）行业标准。本次评价将</w:t>
      </w:r>
      <w:r>
        <w:rPr>
          <w:rFonts w:hint="eastAsia" w:ascii="仿宋" w:hAnsi="仿宋" w:eastAsia="仿宋" w:cs="仿宋"/>
          <w:sz w:val="32"/>
          <w:szCs w:val="32"/>
          <w:highlight w:val="none"/>
          <w:lang w:val="en-US" w:eastAsia="zh-CN"/>
        </w:rPr>
        <w:t>市消防支队</w:t>
      </w:r>
      <w:r>
        <w:rPr>
          <w:rFonts w:hint="eastAsia" w:ascii="仿宋" w:hAnsi="仿宋" w:eastAsia="仿宋" w:cs="仿宋"/>
          <w:sz w:val="32"/>
          <w:szCs w:val="32"/>
          <w:highlight w:val="none"/>
        </w:rPr>
        <w:t>履职目标要求作为行业标准参考。</w:t>
      </w:r>
    </w:p>
    <w:p w14:paraId="51D6DF14">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（4）其他标准。财政部等相关部门认可的其他标准。本次评价中决策及过程指标采用其他标准。</w:t>
      </w:r>
    </w:p>
    <w:p w14:paraId="58351C88">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.评价指标体系</w:t>
      </w:r>
    </w:p>
    <w:p w14:paraId="7E3C7176">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本次评价以《中共中央国务院关于全面实施预算绩效管理的意见》（中发〔2018〕34 号）要求为基础，构建“以部门规划、运行成本、基础管理、资产管理、预算管理等共性指标评价部门管理效率，以履职效能、社会效益、可持续发展能力、服务对象满意等个性指标评价部门履职结果”的评价体系框架。</w:t>
      </w:r>
    </w:p>
    <w:p w14:paraId="0386F6E9">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color w:val="000000"/>
          <w:sz w:val="32"/>
          <w:szCs w:val="32"/>
          <w:highlight w:val="none"/>
        </w:rPr>
      </w:pPr>
      <w:r>
        <w:rPr>
          <w:rFonts w:hint="eastAsia" w:ascii="仿宋" w:hAnsi="仿宋" w:eastAsia="仿宋" w:cs="仿宋"/>
          <w:sz w:val="32"/>
          <w:szCs w:val="32"/>
          <w:highlight w:val="none"/>
          <w:lang w:val="zh-CN"/>
        </w:rPr>
        <w:t xml:space="preserve">绩效评价结果量化为百分制综合评分，并按照综合评分进行分级。综合评分为 90 分（含）以上的为“优”， </w:t>
      </w:r>
      <w:r>
        <w:rPr>
          <w:rFonts w:hint="eastAsia" w:ascii="仿宋" w:hAnsi="仿宋" w:eastAsia="仿宋" w:cs="仿宋"/>
          <w:sz w:val="32"/>
          <w:szCs w:val="32"/>
          <w:highlight w:val="none"/>
        </w:rPr>
        <w:t>75</w:t>
      </w:r>
      <w:r>
        <w:rPr>
          <w:rFonts w:hint="eastAsia" w:ascii="仿宋" w:hAnsi="仿宋" w:eastAsia="仿宋" w:cs="仿宋"/>
          <w:sz w:val="32"/>
          <w:szCs w:val="32"/>
          <w:highlight w:val="none"/>
          <w:lang w:val="zh-CN"/>
        </w:rPr>
        <w:t xml:space="preserve">分（含）至 90 分的为“良”，60 分（含）至 </w:t>
      </w:r>
      <w:r>
        <w:rPr>
          <w:rFonts w:hint="eastAsia" w:ascii="仿宋" w:hAnsi="仿宋" w:eastAsia="仿宋" w:cs="仿宋"/>
          <w:sz w:val="32"/>
          <w:szCs w:val="32"/>
          <w:highlight w:val="none"/>
        </w:rPr>
        <w:t>75</w:t>
      </w:r>
      <w:r>
        <w:rPr>
          <w:rFonts w:hint="eastAsia" w:ascii="仿宋" w:hAnsi="仿宋" w:eastAsia="仿宋" w:cs="仿宋"/>
          <w:sz w:val="32"/>
          <w:szCs w:val="32"/>
          <w:highlight w:val="none"/>
          <w:lang w:val="zh-CN"/>
        </w:rPr>
        <w:t>分的为“中”，60分以下的为“差”</w:t>
      </w:r>
      <w:r>
        <w:rPr>
          <w:rFonts w:hint="eastAsia" w:ascii="仿宋" w:hAnsi="仿宋" w:eastAsia="仿宋" w:cs="仿宋"/>
          <w:color w:val="000000"/>
          <w:sz w:val="32"/>
          <w:szCs w:val="32"/>
          <w:highlight w:val="none"/>
          <w:lang w:bidi="ar"/>
        </w:rPr>
        <w:t>。</w:t>
      </w:r>
    </w:p>
    <w:p w14:paraId="0F4B60A9">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outlineLvl w:val="1"/>
        <w:rPr>
          <w:rFonts w:hint="eastAsia" w:ascii="仿宋" w:hAnsi="仿宋" w:eastAsia="仿宋" w:cs="仿宋"/>
          <w:b/>
          <w:bCs/>
          <w:sz w:val="32"/>
          <w:szCs w:val="32"/>
          <w:highlight w:val="none"/>
        </w:rPr>
      </w:pPr>
      <w:bookmarkStart w:id="18" w:name="_Toc31645"/>
      <w:r>
        <w:rPr>
          <w:rFonts w:hint="eastAsia" w:ascii="仿宋" w:hAnsi="仿宋" w:eastAsia="仿宋" w:cs="仿宋"/>
          <w:b/>
          <w:bCs/>
          <w:sz w:val="32"/>
          <w:szCs w:val="32"/>
          <w:highlight w:val="none"/>
          <w:lang w:bidi="ar"/>
        </w:rPr>
        <w:t>（三）绩效评价工作过程</w:t>
      </w:r>
      <w:bookmarkEnd w:id="18"/>
    </w:p>
    <w:p w14:paraId="6494A096">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 xml:space="preserve">本次绩效评价工作主要分为前期准备、评价实施和形成报告三个阶段。具体情况如下： </w:t>
      </w:r>
    </w:p>
    <w:p w14:paraId="7FBB9FA5">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1.前期准备阶段</w:t>
      </w:r>
    </w:p>
    <w:p w14:paraId="2B97F1A8">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（1）成立工作组。在明确委托方要求后，组建工作组，明确工作组内的任务分工。</w:t>
      </w:r>
    </w:p>
    <w:p w14:paraId="271A6B6B">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 xml:space="preserve">（2）编制工作方案。编制绩效评价工作方案，对评价对象、评价内容、评价方式方法、评价体系和标准、工作程序和时间安排、人员安排及相关附件等作出具体规定。工作方案将报委托方审阅征求意见，并进行调整完善。 </w:t>
      </w:r>
    </w:p>
    <w:p w14:paraId="0568794B">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2.评价实施阶段</w:t>
      </w:r>
    </w:p>
    <w:p w14:paraId="5545FDF8">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（1）前期准备通知</w:t>
      </w:r>
    </w:p>
    <w:p w14:paraId="0085405A">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工作组通过委托方获取项目单位联系方式，与项目单位提前沟通，下发资料清单，由项目单位进行前期资料准备。</w:t>
      </w:r>
    </w:p>
    <w:p w14:paraId="38832BEE">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（2）收集部门资料</w:t>
      </w:r>
    </w:p>
    <w:p w14:paraId="4C5573FD">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为满足评价工作需要，通过邮件、电话、建立微信工作群等方式，根据需要准备资料清单，跟踪辅导被评价项目 单位准备评价所需相关资料，对遇到的疑惑，及时予以解答，为被评价项目单位能够提供出满足评价需要的资料提供辅导支持。</w:t>
      </w:r>
    </w:p>
    <w:p w14:paraId="01A2885A">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（3）资料收集及审核反馈</w:t>
      </w:r>
    </w:p>
    <w:p w14:paraId="6FC46B4B">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工作组将依据资料收集清单对资料进 行形式审核，对于不符合要求、存在重大缺项漏项的资料予以退回，并反馈原因，辅导被评价项目单位补充完善。</w:t>
      </w:r>
    </w:p>
    <w:p w14:paraId="25CFD912">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（4）非现场评价</w:t>
      </w:r>
    </w:p>
    <w:p w14:paraId="6600A439">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 xml:space="preserve">主要对被评价项目提交的评价相关资料进行审核，统计和评分，在审核过程中对于存有疑义的问题，我们会与相关单位充分沟通，对于对评价结果有重大影响的存疑事项，也将进行现场检查或勘察。 </w:t>
      </w:r>
    </w:p>
    <w:p w14:paraId="663163EC">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（5）综合评价分析</w:t>
      </w:r>
    </w:p>
    <w:p w14:paraId="3A807FE4">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 xml:space="preserve">根据所收集的基础资料，结合现场核实的有关情况，整理出绩效评价所需的基本资料和数据。按照评价实施方案确定的评价指标、评价标准和评价方法，根据评价基础数据，对评价项目的总体绩效情况进行全面的综合评价，形成评价结论。 </w:t>
      </w:r>
    </w:p>
    <w:p w14:paraId="2B098291">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 xml:space="preserve">3.报告撰写阶段 </w:t>
      </w:r>
    </w:p>
    <w:p w14:paraId="04A8AFE6">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在前期工作开展的基础上，工作组对项目情况进行汇总和分析， 撰写绩效评价报告，经公司内部审核后，递交委托方征求意见并根据反馈意见修改完成形成报告终稿。</w:t>
      </w:r>
    </w:p>
    <w:p w14:paraId="1110EEE3">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outlineLvl w:val="0"/>
        <w:rPr>
          <w:rFonts w:hint="eastAsia" w:ascii="仿宋" w:hAnsi="仿宋" w:eastAsia="仿宋" w:cs="仿宋"/>
          <w:b/>
          <w:bCs/>
          <w:sz w:val="32"/>
          <w:szCs w:val="32"/>
          <w:highlight w:val="none"/>
          <w:lang w:bidi="ar"/>
        </w:rPr>
      </w:pPr>
      <w:bookmarkStart w:id="19" w:name="_Toc19628"/>
      <w:r>
        <w:rPr>
          <w:rFonts w:hint="eastAsia" w:ascii="仿宋" w:hAnsi="仿宋" w:eastAsia="仿宋" w:cs="仿宋"/>
          <w:b/>
          <w:bCs/>
          <w:sz w:val="32"/>
          <w:szCs w:val="32"/>
          <w:highlight w:val="none"/>
          <w:lang w:bidi="ar"/>
        </w:rPr>
        <w:t>三、综合评价情况及评价结论</w:t>
      </w:r>
      <w:bookmarkEnd w:id="19"/>
    </w:p>
    <w:p w14:paraId="659B89F8">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center"/>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表3-1 2023年部门整体支出指标评分表</w:t>
      </w:r>
    </w:p>
    <w:tbl>
      <w:tblPr>
        <w:tblStyle w:val="10"/>
        <w:tblW w:w="4997" w:type="pct"/>
        <w:jc w:val="center"/>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autofit"/>
        <w:tblCellMar>
          <w:top w:w="0" w:type="dxa"/>
          <w:left w:w="0" w:type="dxa"/>
          <w:bottom w:w="0" w:type="dxa"/>
          <w:right w:w="0" w:type="dxa"/>
        </w:tblCellMar>
      </w:tblPr>
      <w:tblGrid>
        <w:gridCol w:w="2209"/>
        <w:gridCol w:w="2210"/>
        <w:gridCol w:w="2210"/>
        <w:gridCol w:w="2238"/>
      </w:tblGrid>
      <w:tr w14:paraId="60049C32">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0" w:type="dxa"/>
            <w:bottom w:w="0" w:type="dxa"/>
            <w:right w:w="0" w:type="dxa"/>
          </w:tblCellMar>
        </w:tblPrEx>
        <w:trPr>
          <w:cantSplit/>
          <w:trHeight w:val="386" w:hRule="atLeast"/>
          <w:tblHeader/>
          <w:jc w:val="center"/>
        </w:trPr>
        <w:tc>
          <w:tcPr>
            <w:tcW w:w="1246" w:type="pct"/>
            <w:tcBorders>
              <w:tl2br w:val="nil"/>
              <w:tr2bl w:val="nil"/>
            </w:tcBorders>
            <w:noWrap w:val="0"/>
            <w:tcMar>
              <w:top w:w="10" w:type="dxa"/>
              <w:left w:w="10" w:type="dxa"/>
              <w:right w:w="10" w:type="dxa"/>
            </w:tcMar>
            <w:vAlign w:val="center"/>
          </w:tcPr>
          <w:p w14:paraId="5082CA9E">
            <w:pPr>
              <w:autoSpaceDE w:val="0"/>
              <w:spacing w:line="240" w:lineRule="auto"/>
              <w:ind w:firstLine="482" w:firstLineChars="20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bidi="ar"/>
              </w:rPr>
              <w:t>一级指标</w:t>
            </w:r>
          </w:p>
        </w:tc>
        <w:tc>
          <w:tcPr>
            <w:tcW w:w="1246" w:type="pct"/>
            <w:tcBorders>
              <w:tl2br w:val="nil"/>
              <w:tr2bl w:val="nil"/>
            </w:tcBorders>
            <w:noWrap w:val="0"/>
            <w:tcMar>
              <w:top w:w="10" w:type="dxa"/>
              <w:left w:w="10" w:type="dxa"/>
              <w:right w:w="10" w:type="dxa"/>
            </w:tcMar>
            <w:vAlign w:val="center"/>
          </w:tcPr>
          <w:p w14:paraId="0F989C70">
            <w:pPr>
              <w:autoSpaceDE w:val="0"/>
              <w:spacing w:line="240" w:lineRule="auto"/>
              <w:ind w:firstLine="482" w:firstLineChars="20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bidi="ar"/>
              </w:rPr>
              <w:t>分值</w:t>
            </w:r>
          </w:p>
        </w:tc>
        <w:tc>
          <w:tcPr>
            <w:tcW w:w="1246" w:type="pct"/>
            <w:tcBorders>
              <w:tl2br w:val="nil"/>
              <w:tr2bl w:val="nil"/>
            </w:tcBorders>
            <w:noWrap w:val="0"/>
            <w:tcMar>
              <w:top w:w="10" w:type="dxa"/>
              <w:left w:w="10" w:type="dxa"/>
              <w:right w:w="10" w:type="dxa"/>
            </w:tcMar>
            <w:vAlign w:val="center"/>
          </w:tcPr>
          <w:p w14:paraId="6A5C7AAC">
            <w:pPr>
              <w:autoSpaceDE w:val="0"/>
              <w:spacing w:line="240" w:lineRule="auto"/>
              <w:ind w:firstLine="482" w:firstLineChars="20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bidi="ar"/>
              </w:rPr>
              <w:t>得分</w:t>
            </w:r>
          </w:p>
        </w:tc>
        <w:tc>
          <w:tcPr>
            <w:tcW w:w="1259" w:type="pct"/>
            <w:tcBorders>
              <w:tl2br w:val="nil"/>
              <w:tr2bl w:val="nil"/>
            </w:tcBorders>
            <w:noWrap w:val="0"/>
            <w:tcMar>
              <w:top w:w="10" w:type="dxa"/>
              <w:left w:w="10" w:type="dxa"/>
              <w:right w:w="10" w:type="dxa"/>
            </w:tcMar>
            <w:vAlign w:val="center"/>
          </w:tcPr>
          <w:p w14:paraId="5895C698">
            <w:pPr>
              <w:autoSpaceDE w:val="0"/>
              <w:spacing w:line="240" w:lineRule="auto"/>
              <w:ind w:firstLine="482" w:firstLineChars="20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bidi="ar"/>
              </w:rPr>
              <w:t>得分率</w:t>
            </w:r>
          </w:p>
        </w:tc>
      </w:tr>
      <w:tr w14:paraId="22E1FFF5">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0" w:type="dxa"/>
            <w:bottom w:w="0" w:type="dxa"/>
            <w:right w:w="0" w:type="dxa"/>
          </w:tblCellMar>
        </w:tblPrEx>
        <w:trPr>
          <w:cantSplit/>
          <w:trHeight w:val="386" w:hRule="atLeast"/>
          <w:tblHeader/>
          <w:jc w:val="center"/>
        </w:trPr>
        <w:tc>
          <w:tcPr>
            <w:tcW w:w="1246" w:type="pct"/>
            <w:tcBorders>
              <w:tl2br w:val="nil"/>
              <w:tr2bl w:val="nil"/>
            </w:tcBorders>
            <w:noWrap w:val="0"/>
            <w:tcMar>
              <w:top w:w="10" w:type="dxa"/>
              <w:left w:w="10" w:type="dxa"/>
              <w:right w:w="10" w:type="dxa"/>
            </w:tcMar>
            <w:vAlign w:val="center"/>
          </w:tcPr>
          <w:p w14:paraId="324051CB">
            <w:pPr>
              <w:autoSpaceDE w:val="0"/>
              <w:spacing w:line="24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投入</w:t>
            </w:r>
          </w:p>
        </w:tc>
        <w:tc>
          <w:tcPr>
            <w:tcW w:w="1246" w:type="pct"/>
            <w:tcBorders>
              <w:tl2br w:val="nil"/>
              <w:tr2bl w:val="nil"/>
            </w:tcBorders>
            <w:noWrap w:val="0"/>
            <w:tcMar>
              <w:top w:w="10" w:type="dxa"/>
              <w:left w:w="10" w:type="dxa"/>
              <w:right w:w="10" w:type="dxa"/>
            </w:tcMar>
            <w:vAlign w:val="center"/>
          </w:tcPr>
          <w:p w14:paraId="0A362F80">
            <w:pPr>
              <w:autoSpaceDE w:val="0"/>
              <w:spacing w:line="24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15</w:t>
            </w:r>
          </w:p>
        </w:tc>
        <w:tc>
          <w:tcPr>
            <w:tcW w:w="1246" w:type="pct"/>
            <w:tcBorders>
              <w:tl2br w:val="nil"/>
              <w:tr2bl w:val="nil"/>
            </w:tcBorders>
            <w:noWrap w:val="0"/>
            <w:tcMar>
              <w:top w:w="10" w:type="dxa"/>
              <w:left w:w="10" w:type="dxa"/>
              <w:right w:w="10" w:type="dxa"/>
            </w:tcMar>
            <w:vAlign w:val="center"/>
          </w:tcPr>
          <w:p w14:paraId="2378D3F5">
            <w:pPr>
              <w:autoSpaceDE w:val="0"/>
              <w:spacing w:line="240" w:lineRule="auto"/>
              <w:ind w:firstLine="480"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w:t>
            </w:r>
          </w:p>
        </w:tc>
        <w:tc>
          <w:tcPr>
            <w:tcW w:w="1259" w:type="pct"/>
            <w:tcBorders>
              <w:tl2br w:val="nil"/>
              <w:tr2bl w:val="nil"/>
            </w:tcBorders>
            <w:noWrap w:val="0"/>
            <w:tcMar>
              <w:top w:w="10" w:type="dxa"/>
              <w:left w:w="10" w:type="dxa"/>
              <w:right w:w="10" w:type="dxa"/>
            </w:tcMar>
            <w:vAlign w:val="center"/>
          </w:tcPr>
          <w:p w14:paraId="60B678A6">
            <w:pPr>
              <w:autoSpaceDE w:val="0"/>
              <w:spacing w:line="240" w:lineRule="auto"/>
              <w:ind w:firstLine="480"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86.67%</w:t>
            </w:r>
          </w:p>
        </w:tc>
      </w:tr>
      <w:tr w14:paraId="46B59508">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0" w:type="dxa"/>
            <w:bottom w:w="0" w:type="dxa"/>
            <w:right w:w="0" w:type="dxa"/>
          </w:tblCellMar>
        </w:tblPrEx>
        <w:trPr>
          <w:cantSplit/>
          <w:trHeight w:val="386" w:hRule="atLeast"/>
          <w:tblHeader/>
          <w:jc w:val="center"/>
        </w:trPr>
        <w:tc>
          <w:tcPr>
            <w:tcW w:w="1246" w:type="pct"/>
            <w:tcBorders>
              <w:tl2br w:val="nil"/>
              <w:tr2bl w:val="nil"/>
            </w:tcBorders>
            <w:noWrap w:val="0"/>
            <w:tcMar>
              <w:top w:w="10" w:type="dxa"/>
              <w:left w:w="10" w:type="dxa"/>
              <w:right w:w="10" w:type="dxa"/>
            </w:tcMar>
            <w:vAlign w:val="center"/>
          </w:tcPr>
          <w:p w14:paraId="7878001D">
            <w:pPr>
              <w:autoSpaceDE w:val="0"/>
              <w:spacing w:line="24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过程</w:t>
            </w:r>
          </w:p>
        </w:tc>
        <w:tc>
          <w:tcPr>
            <w:tcW w:w="1246" w:type="pct"/>
            <w:tcBorders>
              <w:tl2br w:val="nil"/>
              <w:tr2bl w:val="nil"/>
            </w:tcBorders>
            <w:noWrap w:val="0"/>
            <w:tcMar>
              <w:top w:w="10" w:type="dxa"/>
              <w:left w:w="10" w:type="dxa"/>
              <w:right w:w="10" w:type="dxa"/>
            </w:tcMar>
            <w:vAlign w:val="center"/>
          </w:tcPr>
          <w:p w14:paraId="6CC7FEFB">
            <w:pPr>
              <w:autoSpaceDE w:val="0"/>
              <w:spacing w:line="24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49</w:t>
            </w:r>
          </w:p>
        </w:tc>
        <w:tc>
          <w:tcPr>
            <w:tcW w:w="1246" w:type="pct"/>
            <w:tcBorders>
              <w:tl2br w:val="nil"/>
              <w:tr2bl w:val="nil"/>
            </w:tcBorders>
            <w:noWrap w:val="0"/>
            <w:tcMar>
              <w:top w:w="10" w:type="dxa"/>
              <w:left w:w="10" w:type="dxa"/>
              <w:right w:w="10" w:type="dxa"/>
            </w:tcMar>
            <w:vAlign w:val="center"/>
          </w:tcPr>
          <w:p w14:paraId="5047A173">
            <w:pPr>
              <w:autoSpaceDE w:val="0"/>
              <w:spacing w:line="240" w:lineRule="auto"/>
              <w:ind w:firstLine="480"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26</w:t>
            </w:r>
          </w:p>
        </w:tc>
        <w:tc>
          <w:tcPr>
            <w:tcW w:w="1259" w:type="pct"/>
            <w:tcBorders>
              <w:tl2br w:val="nil"/>
              <w:tr2bl w:val="nil"/>
            </w:tcBorders>
            <w:noWrap w:val="0"/>
            <w:tcMar>
              <w:top w:w="10" w:type="dxa"/>
              <w:left w:w="10" w:type="dxa"/>
              <w:right w:w="10" w:type="dxa"/>
            </w:tcMar>
            <w:vAlign w:val="center"/>
          </w:tcPr>
          <w:p w14:paraId="0077DE06">
            <w:pPr>
              <w:autoSpaceDE w:val="0"/>
              <w:spacing w:line="240" w:lineRule="auto"/>
              <w:ind w:firstLine="480"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53.06%</w:t>
            </w:r>
          </w:p>
        </w:tc>
      </w:tr>
      <w:tr w14:paraId="0FD5909C">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0" w:type="dxa"/>
            <w:bottom w:w="0" w:type="dxa"/>
            <w:right w:w="0" w:type="dxa"/>
          </w:tblCellMar>
        </w:tblPrEx>
        <w:trPr>
          <w:cantSplit/>
          <w:trHeight w:val="386" w:hRule="atLeast"/>
          <w:tblHeader/>
          <w:jc w:val="center"/>
        </w:trPr>
        <w:tc>
          <w:tcPr>
            <w:tcW w:w="1246" w:type="pct"/>
            <w:tcBorders>
              <w:tl2br w:val="nil"/>
              <w:tr2bl w:val="nil"/>
            </w:tcBorders>
            <w:noWrap w:val="0"/>
            <w:tcMar>
              <w:top w:w="10" w:type="dxa"/>
              <w:left w:w="10" w:type="dxa"/>
              <w:right w:w="10" w:type="dxa"/>
            </w:tcMar>
            <w:vAlign w:val="center"/>
          </w:tcPr>
          <w:p w14:paraId="491F4A2A">
            <w:pPr>
              <w:autoSpaceDE w:val="0"/>
              <w:spacing w:line="24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产出</w:t>
            </w:r>
          </w:p>
        </w:tc>
        <w:tc>
          <w:tcPr>
            <w:tcW w:w="1246" w:type="pct"/>
            <w:tcBorders>
              <w:tl2br w:val="nil"/>
              <w:tr2bl w:val="nil"/>
            </w:tcBorders>
            <w:noWrap w:val="0"/>
            <w:tcMar>
              <w:top w:w="10" w:type="dxa"/>
              <w:left w:w="10" w:type="dxa"/>
              <w:right w:w="10" w:type="dxa"/>
            </w:tcMar>
            <w:vAlign w:val="center"/>
          </w:tcPr>
          <w:p w14:paraId="6DE6157C">
            <w:pPr>
              <w:autoSpaceDE w:val="0"/>
              <w:spacing w:line="24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16</w:t>
            </w:r>
          </w:p>
        </w:tc>
        <w:tc>
          <w:tcPr>
            <w:tcW w:w="1246" w:type="pct"/>
            <w:tcBorders>
              <w:tl2br w:val="nil"/>
              <w:tr2bl w:val="nil"/>
            </w:tcBorders>
            <w:noWrap w:val="0"/>
            <w:tcMar>
              <w:top w:w="10" w:type="dxa"/>
              <w:left w:w="10" w:type="dxa"/>
              <w:right w:w="10" w:type="dxa"/>
            </w:tcMar>
            <w:vAlign w:val="center"/>
          </w:tcPr>
          <w:p w14:paraId="6EB9206E">
            <w:pPr>
              <w:autoSpaceDE w:val="0"/>
              <w:spacing w:line="240" w:lineRule="auto"/>
              <w:ind w:firstLine="480"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10.32</w:t>
            </w:r>
          </w:p>
        </w:tc>
        <w:tc>
          <w:tcPr>
            <w:tcW w:w="1259" w:type="pct"/>
            <w:tcBorders>
              <w:tl2br w:val="nil"/>
              <w:tr2bl w:val="nil"/>
            </w:tcBorders>
            <w:noWrap w:val="0"/>
            <w:tcMar>
              <w:top w:w="10" w:type="dxa"/>
              <w:left w:w="10" w:type="dxa"/>
              <w:right w:w="10" w:type="dxa"/>
            </w:tcMar>
            <w:vAlign w:val="center"/>
          </w:tcPr>
          <w:p w14:paraId="1710509F">
            <w:pPr>
              <w:autoSpaceDE w:val="0"/>
              <w:spacing w:line="240" w:lineRule="auto"/>
              <w:ind w:firstLine="480"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64.50%</w:t>
            </w:r>
          </w:p>
        </w:tc>
      </w:tr>
      <w:tr w14:paraId="36DDF359">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0" w:type="dxa"/>
            <w:bottom w:w="0" w:type="dxa"/>
            <w:right w:w="0" w:type="dxa"/>
          </w:tblCellMar>
        </w:tblPrEx>
        <w:trPr>
          <w:cantSplit/>
          <w:trHeight w:val="386" w:hRule="atLeast"/>
          <w:tblHeader/>
          <w:jc w:val="center"/>
        </w:trPr>
        <w:tc>
          <w:tcPr>
            <w:tcW w:w="1246" w:type="pct"/>
            <w:tcBorders>
              <w:tl2br w:val="nil"/>
              <w:tr2bl w:val="nil"/>
            </w:tcBorders>
            <w:noWrap w:val="0"/>
            <w:tcMar>
              <w:top w:w="10" w:type="dxa"/>
              <w:left w:w="10" w:type="dxa"/>
              <w:right w:w="10" w:type="dxa"/>
            </w:tcMar>
            <w:vAlign w:val="center"/>
          </w:tcPr>
          <w:p w14:paraId="6708F035">
            <w:pPr>
              <w:autoSpaceDE w:val="0"/>
              <w:spacing w:line="24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效果</w:t>
            </w:r>
          </w:p>
        </w:tc>
        <w:tc>
          <w:tcPr>
            <w:tcW w:w="1246" w:type="pct"/>
            <w:tcBorders>
              <w:tl2br w:val="nil"/>
              <w:tr2bl w:val="nil"/>
            </w:tcBorders>
            <w:noWrap w:val="0"/>
            <w:tcMar>
              <w:top w:w="10" w:type="dxa"/>
              <w:left w:w="10" w:type="dxa"/>
              <w:right w:w="10" w:type="dxa"/>
            </w:tcMar>
            <w:vAlign w:val="center"/>
          </w:tcPr>
          <w:p w14:paraId="716B5B24">
            <w:pPr>
              <w:autoSpaceDE w:val="0"/>
              <w:spacing w:line="24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20</w:t>
            </w:r>
          </w:p>
        </w:tc>
        <w:tc>
          <w:tcPr>
            <w:tcW w:w="1246" w:type="pct"/>
            <w:tcBorders>
              <w:tl2br w:val="nil"/>
              <w:tr2bl w:val="nil"/>
            </w:tcBorders>
            <w:noWrap w:val="0"/>
            <w:tcMar>
              <w:top w:w="10" w:type="dxa"/>
              <w:left w:w="10" w:type="dxa"/>
              <w:right w:w="10" w:type="dxa"/>
            </w:tcMar>
            <w:vAlign w:val="center"/>
          </w:tcPr>
          <w:p w14:paraId="7C53C80B">
            <w:pPr>
              <w:autoSpaceDE w:val="0"/>
              <w:spacing w:line="240" w:lineRule="auto"/>
              <w:ind w:firstLine="480" w:firstLineChars="20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17.13</w:t>
            </w:r>
          </w:p>
        </w:tc>
        <w:tc>
          <w:tcPr>
            <w:tcW w:w="1259" w:type="pct"/>
            <w:tcBorders>
              <w:tl2br w:val="nil"/>
              <w:tr2bl w:val="nil"/>
            </w:tcBorders>
            <w:noWrap w:val="0"/>
            <w:tcMar>
              <w:top w:w="10" w:type="dxa"/>
              <w:left w:w="10" w:type="dxa"/>
              <w:right w:w="10" w:type="dxa"/>
            </w:tcMar>
            <w:vAlign w:val="center"/>
          </w:tcPr>
          <w:p w14:paraId="39F9760B">
            <w:pPr>
              <w:autoSpaceDE w:val="0"/>
              <w:spacing w:line="240" w:lineRule="auto"/>
              <w:ind w:firstLine="480"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85.65%</w:t>
            </w:r>
          </w:p>
        </w:tc>
      </w:tr>
      <w:tr w14:paraId="403D03A1">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0" w:type="dxa"/>
            <w:bottom w:w="0" w:type="dxa"/>
            <w:right w:w="0" w:type="dxa"/>
          </w:tblCellMar>
        </w:tblPrEx>
        <w:trPr>
          <w:cantSplit/>
          <w:trHeight w:val="386" w:hRule="atLeast"/>
          <w:tblHeader/>
          <w:jc w:val="center"/>
        </w:trPr>
        <w:tc>
          <w:tcPr>
            <w:tcW w:w="5000" w:type="pct"/>
            <w:gridSpan w:val="4"/>
            <w:tcBorders>
              <w:tl2br w:val="nil"/>
              <w:tr2bl w:val="nil"/>
            </w:tcBorders>
            <w:noWrap w:val="0"/>
            <w:tcMar>
              <w:top w:w="10" w:type="dxa"/>
              <w:left w:w="10" w:type="dxa"/>
              <w:right w:w="10" w:type="dxa"/>
            </w:tcMar>
            <w:vAlign w:val="center"/>
          </w:tcPr>
          <w:p w14:paraId="74E5BDB2">
            <w:pPr>
              <w:autoSpaceDE w:val="0"/>
              <w:spacing w:line="240" w:lineRule="auto"/>
              <w:ind w:firstLine="482"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bidi="ar"/>
              </w:rPr>
              <w:t>绩效评价得分：</w:t>
            </w:r>
            <w:r>
              <w:rPr>
                <w:rFonts w:hint="eastAsia" w:ascii="仿宋" w:hAnsi="仿宋" w:eastAsia="仿宋" w:cs="仿宋"/>
                <w:b/>
                <w:bCs/>
                <w:sz w:val="24"/>
                <w:szCs w:val="24"/>
                <w:highlight w:val="none"/>
                <w:lang w:val="en-US" w:eastAsia="zh-CN" w:bidi="ar"/>
              </w:rPr>
              <w:t>66</w:t>
            </w:r>
            <w:r>
              <w:rPr>
                <w:rFonts w:hint="eastAsia" w:ascii="仿宋" w:hAnsi="仿宋" w:eastAsia="仿宋" w:cs="仿宋"/>
                <w:b/>
                <w:bCs/>
                <w:sz w:val="24"/>
                <w:szCs w:val="24"/>
                <w:highlight w:val="none"/>
                <w:lang w:bidi="ar"/>
              </w:rPr>
              <w:t>.</w:t>
            </w:r>
            <w:r>
              <w:rPr>
                <w:rFonts w:hint="eastAsia" w:ascii="仿宋" w:hAnsi="仿宋" w:eastAsia="仿宋" w:cs="仿宋"/>
                <w:b/>
                <w:bCs/>
                <w:sz w:val="24"/>
                <w:szCs w:val="24"/>
                <w:highlight w:val="none"/>
                <w:lang w:val="en-US" w:eastAsia="zh-CN" w:bidi="ar"/>
              </w:rPr>
              <w:t>45</w:t>
            </w:r>
            <w:bookmarkStart w:id="33" w:name="_GoBack"/>
            <w:bookmarkEnd w:id="33"/>
            <w:r>
              <w:rPr>
                <w:rFonts w:hint="eastAsia" w:ascii="仿宋" w:hAnsi="仿宋" w:eastAsia="仿宋" w:cs="仿宋"/>
                <w:b/>
                <w:bCs/>
                <w:sz w:val="24"/>
                <w:szCs w:val="24"/>
                <w:highlight w:val="none"/>
                <w:lang w:val="en-US" w:eastAsia="zh-CN" w:bidi="ar"/>
              </w:rPr>
              <w:t xml:space="preserve">        </w:t>
            </w:r>
            <w:r>
              <w:rPr>
                <w:rFonts w:hint="eastAsia" w:ascii="仿宋" w:hAnsi="仿宋" w:eastAsia="仿宋" w:cs="仿宋"/>
                <w:b/>
                <w:bCs/>
                <w:sz w:val="24"/>
                <w:szCs w:val="24"/>
                <w:highlight w:val="none"/>
                <w:lang w:bidi="ar"/>
              </w:rPr>
              <w:t>综合评价结果等级：</w:t>
            </w:r>
            <w:r>
              <w:rPr>
                <w:rFonts w:hint="eastAsia" w:ascii="仿宋" w:hAnsi="仿宋" w:eastAsia="仿宋" w:cs="仿宋"/>
                <w:b/>
                <w:bCs/>
                <w:sz w:val="24"/>
                <w:szCs w:val="24"/>
                <w:highlight w:val="none"/>
                <w:lang w:val="en-US" w:eastAsia="zh-CN" w:bidi="ar"/>
              </w:rPr>
              <w:t>中</w:t>
            </w:r>
          </w:p>
        </w:tc>
      </w:tr>
    </w:tbl>
    <w:p w14:paraId="65467BB8">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outlineLvl w:val="0"/>
        <w:rPr>
          <w:rFonts w:hint="eastAsia" w:ascii="仿宋" w:hAnsi="仿宋" w:eastAsia="仿宋" w:cs="仿宋"/>
          <w:b/>
          <w:bCs/>
          <w:sz w:val="32"/>
          <w:szCs w:val="32"/>
          <w:highlight w:val="none"/>
        </w:rPr>
      </w:pPr>
      <w:bookmarkStart w:id="20" w:name="_Toc7941"/>
      <w:r>
        <w:rPr>
          <w:rFonts w:hint="eastAsia" w:ascii="仿宋" w:hAnsi="仿宋" w:eastAsia="仿宋" w:cs="仿宋"/>
          <w:b/>
          <w:bCs/>
          <w:sz w:val="32"/>
          <w:szCs w:val="32"/>
          <w:highlight w:val="none"/>
          <w:lang w:bidi="ar"/>
        </w:rPr>
        <w:t>四、绩效评价指标分析</w:t>
      </w:r>
      <w:bookmarkEnd w:id="20"/>
    </w:p>
    <w:p w14:paraId="5AFB72C2">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outlineLvl w:val="1"/>
        <w:rPr>
          <w:rFonts w:hint="eastAsia" w:ascii="仿宋" w:hAnsi="仿宋" w:eastAsia="仿宋" w:cs="仿宋"/>
          <w:b/>
          <w:bCs/>
          <w:sz w:val="32"/>
          <w:szCs w:val="32"/>
          <w:highlight w:val="none"/>
        </w:rPr>
      </w:pPr>
      <w:bookmarkStart w:id="21" w:name="_Toc28507"/>
      <w:r>
        <w:rPr>
          <w:rFonts w:hint="eastAsia" w:ascii="仿宋" w:hAnsi="仿宋" w:eastAsia="仿宋" w:cs="仿宋"/>
          <w:b/>
          <w:bCs/>
          <w:sz w:val="32"/>
          <w:szCs w:val="32"/>
          <w:highlight w:val="none"/>
          <w:lang w:bidi="ar"/>
        </w:rPr>
        <w:t>（一）项目投入情况</w:t>
      </w:r>
      <w:bookmarkEnd w:id="21"/>
    </w:p>
    <w:p w14:paraId="32897718">
      <w:pPr>
        <w:pStyle w:val="4"/>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从目标设定、预算配置两个方面进行评价，满分为15分，总得分</w:t>
      </w:r>
      <w:r>
        <w:rPr>
          <w:rFonts w:hint="eastAsia" w:ascii="仿宋" w:hAnsi="仿宋" w:eastAsia="仿宋" w:cs="仿宋"/>
          <w:sz w:val="32"/>
          <w:szCs w:val="32"/>
          <w:highlight w:val="none"/>
          <w:lang w:val="en-US" w:eastAsia="zh-CN"/>
        </w:rPr>
        <w:t>13</w:t>
      </w:r>
      <w:r>
        <w:rPr>
          <w:rFonts w:hint="eastAsia" w:ascii="仿宋" w:hAnsi="仿宋" w:eastAsia="仿宋" w:cs="仿宋"/>
          <w:sz w:val="32"/>
          <w:szCs w:val="32"/>
          <w:highlight w:val="none"/>
        </w:rPr>
        <w:t>分。</w:t>
      </w:r>
    </w:p>
    <w:p w14:paraId="6A11DF9F">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jc w:val="center"/>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表4-1</w:t>
      </w:r>
      <w:r>
        <w:rPr>
          <w:rFonts w:hint="eastAsia" w:ascii="仿宋" w:hAnsi="仿宋" w:eastAsia="仿宋" w:cs="仿宋"/>
          <w:b/>
          <w:bCs/>
          <w:color w:val="000000"/>
          <w:sz w:val="32"/>
          <w:szCs w:val="32"/>
          <w:highlight w:val="none"/>
          <w:lang w:bidi="ar"/>
        </w:rPr>
        <w:t>项目投入情况得分表</w:t>
      </w:r>
    </w:p>
    <w:tbl>
      <w:tblPr>
        <w:tblStyle w:val="10"/>
        <w:tblW w:w="8595" w:type="dxa"/>
        <w:tblInd w:w="96" w:type="dxa"/>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
      <w:tblGrid>
        <w:gridCol w:w="1246"/>
        <w:gridCol w:w="727"/>
        <w:gridCol w:w="1333"/>
        <w:gridCol w:w="3735"/>
        <w:gridCol w:w="810"/>
        <w:gridCol w:w="744"/>
      </w:tblGrid>
      <w:tr w14:paraId="587A9187">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tcBorders>
              <w:top w:val="single" w:color="auto" w:sz="8" w:space="0"/>
              <w:left w:val="nil"/>
              <w:bottom w:val="dotted" w:color="auto" w:sz="4" w:space="0"/>
              <w:right w:val="dotted" w:color="auto" w:sz="4" w:space="0"/>
            </w:tcBorders>
            <w:noWrap/>
            <w:vAlign w:val="center"/>
          </w:tcPr>
          <w:p w14:paraId="0683566D">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一级指标</w:t>
            </w:r>
          </w:p>
        </w:tc>
        <w:tc>
          <w:tcPr>
            <w:tcW w:w="727" w:type="dxa"/>
            <w:tcBorders>
              <w:top w:val="single" w:color="auto" w:sz="8" w:space="0"/>
              <w:left w:val="dotted" w:color="auto" w:sz="4" w:space="0"/>
              <w:bottom w:val="dotted" w:color="auto" w:sz="4" w:space="0"/>
              <w:right w:val="dotted" w:color="auto" w:sz="4" w:space="0"/>
            </w:tcBorders>
            <w:noWrap/>
            <w:vAlign w:val="center"/>
          </w:tcPr>
          <w:p w14:paraId="014C83A7">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分值</w:t>
            </w:r>
          </w:p>
        </w:tc>
        <w:tc>
          <w:tcPr>
            <w:tcW w:w="1333" w:type="dxa"/>
            <w:tcBorders>
              <w:top w:val="single" w:color="auto" w:sz="8" w:space="0"/>
              <w:left w:val="dotted" w:color="auto" w:sz="4" w:space="0"/>
              <w:bottom w:val="dotted" w:color="auto" w:sz="4" w:space="0"/>
              <w:right w:val="dotted" w:color="auto" w:sz="4" w:space="0"/>
            </w:tcBorders>
            <w:noWrap/>
            <w:vAlign w:val="center"/>
          </w:tcPr>
          <w:p w14:paraId="4B5145D8">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二级指标</w:t>
            </w:r>
          </w:p>
        </w:tc>
        <w:tc>
          <w:tcPr>
            <w:tcW w:w="3735" w:type="dxa"/>
            <w:tcBorders>
              <w:top w:val="single" w:color="auto" w:sz="8" w:space="0"/>
              <w:left w:val="dotted" w:color="auto" w:sz="4" w:space="0"/>
              <w:bottom w:val="dotted" w:color="auto" w:sz="4" w:space="0"/>
              <w:right w:val="dotted" w:color="auto" w:sz="4" w:space="0"/>
            </w:tcBorders>
            <w:noWrap/>
            <w:vAlign w:val="center"/>
          </w:tcPr>
          <w:p w14:paraId="72DFB032">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三级指标</w:t>
            </w:r>
          </w:p>
        </w:tc>
        <w:tc>
          <w:tcPr>
            <w:tcW w:w="810" w:type="dxa"/>
            <w:tcBorders>
              <w:top w:val="single" w:color="auto" w:sz="8" w:space="0"/>
              <w:left w:val="dotted" w:color="auto" w:sz="4" w:space="0"/>
              <w:bottom w:val="dotted" w:color="auto" w:sz="4" w:space="0"/>
              <w:right w:val="dotted" w:color="auto" w:sz="4" w:space="0"/>
            </w:tcBorders>
            <w:noWrap/>
            <w:vAlign w:val="center"/>
          </w:tcPr>
          <w:p w14:paraId="5C44AAE6">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分值</w:t>
            </w:r>
          </w:p>
        </w:tc>
        <w:tc>
          <w:tcPr>
            <w:tcW w:w="744" w:type="dxa"/>
            <w:tcBorders>
              <w:top w:val="single" w:color="auto" w:sz="8" w:space="0"/>
              <w:left w:val="dotted" w:color="auto" w:sz="4" w:space="0"/>
              <w:bottom w:val="dotted" w:color="auto" w:sz="4" w:space="0"/>
              <w:right w:val="nil"/>
            </w:tcBorders>
            <w:noWrap/>
            <w:vAlign w:val="center"/>
          </w:tcPr>
          <w:p w14:paraId="1F4E7893">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得分</w:t>
            </w:r>
          </w:p>
        </w:tc>
      </w:tr>
      <w:tr w14:paraId="4DCEE262">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restart"/>
            <w:tcBorders>
              <w:top w:val="dotted" w:color="auto" w:sz="4" w:space="0"/>
              <w:left w:val="nil"/>
              <w:bottom w:val="dotted" w:color="auto" w:sz="4" w:space="0"/>
              <w:right w:val="dotted" w:color="auto" w:sz="4" w:space="0"/>
            </w:tcBorders>
            <w:noWrap/>
            <w:vAlign w:val="center"/>
          </w:tcPr>
          <w:p w14:paraId="60981DC2">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投入</w:t>
            </w:r>
          </w:p>
        </w:tc>
        <w:tc>
          <w:tcPr>
            <w:tcW w:w="727" w:type="dxa"/>
            <w:vMerge w:val="restart"/>
            <w:tcBorders>
              <w:top w:val="dotted" w:color="auto" w:sz="4" w:space="0"/>
              <w:left w:val="dotted" w:color="auto" w:sz="4" w:space="0"/>
              <w:bottom w:val="dotted" w:color="auto" w:sz="4" w:space="0"/>
              <w:right w:val="dotted" w:color="auto" w:sz="4" w:space="0"/>
            </w:tcBorders>
            <w:noWrap/>
            <w:vAlign w:val="center"/>
          </w:tcPr>
          <w:p w14:paraId="59F2A8B5">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15</w:t>
            </w:r>
          </w:p>
        </w:tc>
        <w:tc>
          <w:tcPr>
            <w:tcW w:w="1333" w:type="dxa"/>
            <w:vMerge w:val="restart"/>
            <w:tcBorders>
              <w:top w:val="dotted" w:color="auto" w:sz="4" w:space="0"/>
              <w:left w:val="dotted" w:color="auto" w:sz="4" w:space="0"/>
              <w:bottom w:val="dotted" w:color="auto" w:sz="4" w:space="0"/>
              <w:right w:val="dotted" w:color="auto" w:sz="4" w:space="0"/>
            </w:tcBorders>
            <w:noWrap w:val="0"/>
            <w:vAlign w:val="center"/>
          </w:tcPr>
          <w:p w14:paraId="7A3F2C6E">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目标设定</w:t>
            </w:r>
          </w:p>
        </w:tc>
        <w:tc>
          <w:tcPr>
            <w:tcW w:w="3735" w:type="dxa"/>
            <w:tcBorders>
              <w:top w:val="dotted" w:color="auto" w:sz="4" w:space="0"/>
              <w:left w:val="dotted" w:color="auto" w:sz="4" w:space="0"/>
              <w:bottom w:val="dotted" w:color="auto" w:sz="4" w:space="0"/>
              <w:right w:val="dotted" w:color="auto" w:sz="4" w:space="0"/>
            </w:tcBorders>
            <w:noWrap w:val="0"/>
            <w:vAlign w:val="center"/>
          </w:tcPr>
          <w:p w14:paraId="01853B3C">
            <w:pPr>
              <w:widowControl/>
              <w:autoSpaceDE w:val="0"/>
              <w:spacing w:line="240" w:lineRule="auto"/>
              <w:jc w:val="center"/>
              <w:textAlignment w:val="center"/>
              <w:rPr>
                <w:rFonts w:hint="eastAsia" w:ascii="仿宋" w:hAnsi="仿宋" w:eastAsia="仿宋" w:cs="仿宋"/>
                <w:color w:val="000000"/>
                <w:sz w:val="24"/>
                <w:szCs w:val="24"/>
                <w:highlight w:val="none"/>
              </w:rPr>
            </w:pPr>
            <w:r>
              <w:rPr>
                <w:rStyle w:val="14"/>
                <w:rFonts w:hint="eastAsia" w:ascii="仿宋" w:hAnsi="仿宋" w:eastAsia="仿宋" w:cs="仿宋"/>
                <w:sz w:val="24"/>
                <w:szCs w:val="24"/>
                <w:highlight w:val="none"/>
                <w:lang w:bidi="ar"/>
              </w:rPr>
              <w:t>绩效目标合法合规合理性</w:t>
            </w:r>
          </w:p>
        </w:tc>
        <w:tc>
          <w:tcPr>
            <w:tcW w:w="810" w:type="dxa"/>
            <w:tcBorders>
              <w:top w:val="dotted" w:color="auto" w:sz="4" w:space="0"/>
              <w:left w:val="dotted" w:color="auto" w:sz="4" w:space="0"/>
              <w:bottom w:val="dotted" w:color="auto" w:sz="4" w:space="0"/>
              <w:right w:val="dotted" w:color="auto" w:sz="4" w:space="0"/>
            </w:tcBorders>
            <w:noWrap w:val="0"/>
            <w:vAlign w:val="center"/>
          </w:tcPr>
          <w:p w14:paraId="1486A1D6">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1</w:t>
            </w:r>
          </w:p>
        </w:tc>
        <w:tc>
          <w:tcPr>
            <w:tcW w:w="744" w:type="dxa"/>
            <w:tcBorders>
              <w:top w:val="dotted" w:color="auto" w:sz="4" w:space="0"/>
              <w:left w:val="dotted" w:color="auto" w:sz="4" w:space="0"/>
              <w:bottom w:val="dotted" w:color="auto" w:sz="4" w:space="0"/>
              <w:right w:val="nil"/>
            </w:tcBorders>
            <w:noWrap/>
            <w:vAlign w:val="center"/>
          </w:tcPr>
          <w:p w14:paraId="092846A5">
            <w:pPr>
              <w:widowControl/>
              <w:autoSpaceDE w:val="0"/>
              <w:spacing w:before="10" w:line="240" w:lineRule="auto"/>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p>
        </w:tc>
      </w:tr>
      <w:tr w14:paraId="0CEE20EE">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246" w:type="dxa"/>
            <w:vMerge w:val="continue"/>
            <w:tcBorders>
              <w:top w:val="dotted" w:color="auto" w:sz="4" w:space="0"/>
              <w:left w:val="nil"/>
              <w:bottom w:val="dotted" w:color="auto" w:sz="4" w:space="0"/>
              <w:right w:val="dotted" w:color="auto" w:sz="4" w:space="0"/>
            </w:tcBorders>
            <w:noWrap/>
            <w:vAlign w:val="center"/>
          </w:tcPr>
          <w:p w14:paraId="703549FC">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6DC8F7E6">
            <w:pPr>
              <w:rPr>
                <w:rFonts w:hint="eastAsia" w:ascii="仿宋" w:hAnsi="仿宋" w:eastAsia="仿宋" w:cs="仿宋"/>
                <w:sz w:val="24"/>
                <w:szCs w:val="24"/>
                <w:highlight w:val="none"/>
              </w:rPr>
            </w:pPr>
          </w:p>
        </w:tc>
        <w:tc>
          <w:tcPr>
            <w:tcW w:w="1333" w:type="dxa"/>
            <w:vMerge w:val="continue"/>
            <w:tcBorders>
              <w:top w:val="dotted" w:color="auto" w:sz="4" w:space="0"/>
              <w:left w:val="dotted" w:color="auto" w:sz="4" w:space="0"/>
              <w:bottom w:val="dotted" w:color="auto" w:sz="4" w:space="0"/>
              <w:right w:val="dotted" w:color="auto" w:sz="4" w:space="0"/>
            </w:tcBorders>
            <w:noWrap w:val="0"/>
            <w:vAlign w:val="center"/>
          </w:tcPr>
          <w:p w14:paraId="51030BFE">
            <w:pPr>
              <w:rPr>
                <w:rFonts w:hint="eastAsia" w:ascii="仿宋" w:hAnsi="仿宋" w:eastAsia="仿宋" w:cs="仿宋"/>
                <w:sz w:val="24"/>
                <w:szCs w:val="24"/>
                <w:highlight w:val="none"/>
              </w:rPr>
            </w:pPr>
          </w:p>
        </w:tc>
        <w:tc>
          <w:tcPr>
            <w:tcW w:w="3735" w:type="dxa"/>
            <w:tcBorders>
              <w:top w:val="dotted" w:color="auto" w:sz="4" w:space="0"/>
              <w:left w:val="dotted" w:color="auto" w:sz="4" w:space="0"/>
              <w:bottom w:val="dotted" w:color="auto" w:sz="4" w:space="0"/>
              <w:right w:val="dotted" w:color="auto" w:sz="4" w:space="0"/>
            </w:tcBorders>
            <w:noWrap w:val="0"/>
            <w:vAlign w:val="center"/>
          </w:tcPr>
          <w:p w14:paraId="5FB661B1">
            <w:pPr>
              <w:widowControl/>
              <w:autoSpaceDE w:val="0"/>
              <w:spacing w:line="240" w:lineRule="auto"/>
              <w:jc w:val="center"/>
              <w:textAlignment w:val="center"/>
              <w:rPr>
                <w:rFonts w:hint="eastAsia" w:ascii="仿宋" w:hAnsi="仿宋" w:eastAsia="仿宋" w:cs="仿宋"/>
                <w:color w:val="000000"/>
                <w:sz w:val="24"/>
                <w:szCs w:val="24"/>
                <w:highlight w:val="none"/>
              </w:rPr>
            </w:pPr>
            <w:r>
              <w:rPr>
                <w:rStyle w:val="14"/>
                <w:rFonts w:hint="eastAsia" w:ascii="仿宋" w:hAnsi="仿宋" w:eastAsia="仿宋" w:cs="仿宋"/>
                <w:sz w:val="24"/>
                <w:szCs w:val="24"/>
                <w:highlight w:val="none"/>
                <w:lang w:bidi="ar"/>
              </w:rPr>
              <w:t>绩效目标与部门职责的相符性</w:t>
            </w:r>
          </w:p>
        </w:tc>
        <w:tc>
          <w:tcPr>
            <w:tcW w:w="810" w:type="dxa"/>
            <w:tcBorders>
              <w:top w:val="dotted" w:color="auto" w:sz="4" w:space="0"/>
              <w:left w:val="dotted" w:color="auto" w:sz="4" w:space="0"/>
              <w:bottom w:val="dotted" w:color="auto" w:sz="4" w:space="0"/>
              <w:right w:val="dotted" w:color="auto" w:sz="4" w:space="0"/>
            </w:tcBorders>
            <w:noWrap w:val="0"/>
            <w:vAlign w:val="center"/>
          </w:tcPr>
          <w:p w14:paraId="0BB0C588">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1</w:t>
            </w:r>
          </w:p>
        </w:tc>
        <w:tc>
          <w:tcPr>
            <w:tcW w:w="744" w:type="dxa"/>
            <w:tcBorders>
              <w:top w:val="dotted" w:color="auto" w:sz="4" w:space="0"/>
              <w:left w:val="dotted" w:color="auto" w:sz="4" w:space="0"/>
              <w:bottom w:val="dotted" w:color="auto" w:sz="4" w:space="0"/>
              <w:right w:val="nil"/>
            </w:tcBorders>
            <w:noWrap/>
            <w:vAlign w:val="center"/>
          </w:tcPr>
          <w:p w14:paraId="7BEC8808">
            <w:pPr>
              <w:widowControl/>
              <w:autoSpaceDE w:val="0"/>
              <w:spacing w:before="10" w:line="240" w:lineRule="auto"/>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p>
        </w:tc>
      </w:tr>
      <w:tr w14:paraId="1A46C42E">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noWrap/>
            <w:vAlign w:val="center"/>
          </w:tcPr>
          <w:p w14:paraId="2790132C">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473AF958">
            <w:pPr>
              <w:rPr>
                <w:rFonts w:hint="eastAsia" w:ascii="仿宋" w:hAnsi="仿宋" w:eastAsia="仿宋" w:cs="仿宋"/>
                <w:sz w:val="24"/>
                <w:szCs w:val="24"/>
                <w:highlight w:val="none"/>
              </w:rPr>
            </w:pPr>
          </w:p>
        </w:tc>
        <w:tc>
          <w:tcPr>
            <w:tcW w:w="1333" w:type="dxa"/>
            <w:vMerge w:val="continue"/>
            <w:tcBorders>
              <w:top w:val="dotted" w:color="auto" w:sz="4" w:space="0"/>
              <w:left w:val="dotted" w:color="auto" w:sz="4" w:space="0"/>
              <w:bottom w:val="dotted" w:color="auto" w:sz="4" w:space="0"/>
              <w:right w:val="dotted" w:color="auto" w:sz="4" w:space="0"/>
            </w:tcBorders>
            <w:noWrap w:val="0"/>
            <w:vAlign w:val="center"/>
          </w:tcPr>
          <w:p w14:paraId="717CF10B">
            <w:pPr>
              <w:rPr>
                <w:rFonts w:hint="eastAsia" w:ascii="仿宋" w:hAnsi="仿宋" w:eastAsia="仿宋" w:cs="仿宋"/>
                <w:sz w:val="24"/>
                <w:szCs w:val="24"/>
                <w:highlight w:val="none"/>
              </w:rPr>
            </w:pPr>
          </w:p>
        </w:tc>
        <w:tc>
          <w:tcPr>
            <w:tcW w:w="3735" w:type="dxa"/>
            <w:tcBorders>
              <w:top w:val="dotted" w:color="auto" w:sz="4" w:space="0"/>
              <w:left w:val="dotted" w:color="auto" w:sz="4" w:space="0"/>
              <w:bottom w:val="dotted" w:color="auto" w:sz="4" w:space="0"/>
              <w:right w:val="dotted" w:color="auto" w:sz="4" w:space="0"/>
            </w:tcBorders>
            <w:noWrap w:val="0"/>
            <w:vAlign w:val="center"/>
          </w:tcPr>
          <w:p w14:paraId="621A78DF">
            <w:pPr>
              <w:widowControl/>
              <w:autoSpaceDE w:val="0"/>
              <w:spacing w:line="240" w:lineRule="auto"/>
              <w:jc w:val="center"/>
              <w:textAlignment w:val="center"/>
              <w:rPr>
                <w:rFonts w:hint="eastAsia" w:ascii="仿宋" w:hAnsi="仿宋" w:eastAsia="仿宋" w:cs="仿宋"/>
                <w:color w:val="000000"/>
                <w:sz w:val="24"/>
                <w:szCs w:val="24"/>
                <w:highlight w:val="none"/>
              </w:rPr>
            </w:pPr>
            <w:r>
              <w:rPr>
                <w:rStyle w:val="14"/>
                <w:rFonts w:hint="eastAsia" w:ascii="仿宋" w:hAnsi="仿宋" w:eastAsia="仿宋" w:cs="仿宋"/>
                <w:sz w:val="24"/>
                <w:szCs w:val="24"/>
                <w:highlight w:val="none"/>
                <w:lang w:bidi="ar"/>
              </w:rPr>
              <w:t>绩效指标清晰量化程度</w:t>
            </w:r>
          </w:p>
        </w:tc>
        <w:tc>
          <w:tcPr>
            <w:tcW w:w="810" w:type="dxa"/>
            <w:tcBorders>
              <w:top w:val="dotted" w:color="auto" w:sz="4" w:space="0"/>
              <w:left w:val="dotted" w:color="auto" w:sz="4" w:space="0"/>
              <w:bottom w:val="dotted" w:color="auto" w:sz="4" w:space="0"/>
              <w:right w:val="dotted" w:color="auto" w:sz="4" w:space="0"/>
            </w:tcBorders>
            <w:noWrap w:val="0"/>
            <w:vAlign w:val="center"/>
          </w:tcPr>
          <w:p w14:paraId="29D3191C">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1</w:t>
            </w:r>
          </w:p>
        </w:tc>
        <w:tc>
          <w:tcPr>
            <w:tcW w:w="744" w:type="dxa"/>
            <w:tcBorders>
              <w:top w:val="dotted" w:color="auto" w:sz="4" w:space="0"/>
              <w:left w:val="dotted" w:color="auto" w:sz="4" w:space="0"/>
              <w:bottom w:val="dotted" w:color="auto" w:sz="4" w:space="0"/>
              <w:right w:val="nil"/>
            </w:tcBorders>
            <w:noWrap/>
            <w:vAlign w:val="center"/>
          </w:tcPr>
          <w:p w14:paraId="4B102216">
            <w:pPr>
              <w:widowControl/>
              <w:autoSpaceDE w:val="0"/>
              <w:spacing w:before="10" w:line="240" w:lineRule="auto"/>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p>
        </w:tc>
      </w:tr>
      <w:tr w14:paraId="7DD2A131">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noWrap/>
            <w:vAlign w:val="center"/>
          </w:tcPr>
          <w:p w14:paraId="4696E37A">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00ED2B35">
            <w:pPr>
              <w:rPr>
                <w:rFonts w:hint="eastAsia" w:ascii="仿宋" w:hAnsi="仿宋" w:eastAsia="仿宋" w:cs="仿宋"/>
                <w:sz w:val="24"/>
                <w:szCs w:val="24"/>
                <w:highlight w:val="none"/>
              </w:rPr>
            </w:pPr>
          </w:p>
        </w:tc>
        <w:tc>
          <w:tcPr>
            <w:tcW w:w="1333" w:type="dxa"/>
            <w:vMerge w:val="continue"/>
            <w:tcBorders>
              <w:top w:val="dotted" w:color="auto" w:sz="4" w:space="0"/>
              <w:left w:val="dotted" w:color="auto" w:sz="4" w:space="0"/>
              <w:bottom w:val="dotted" w:color="auto" w:sz="4" w:space="0"/>
              <w:right w:val="dotted" w:color="auto" w:sz="4" w:space="0"/>
            </w:tcBorders>
            <w:noWrap w:val="0"/>
            <w:vAlign w:val="center"/>
          </w:tcPr>
          <w:p w14:paraId="3F6F9686">
            <w:pPr>
              <w:rPr>
                <w:rFonts w:hint="eastAsia" w:ascii="仿宋" w:hAnsi="仿宋" w:eastAsia="仿宋" w:cs="仿宋"/>
                <w:sz w:val="24"/>
                <w:szCs w:val="24"/>
                <w:highlight w:val="none"/>
              </w:rPr>
            </w:pPr>
          </w:p>
        </w:tc>
        <w:tc>
          <w:tcPr>
            <w:tcW w:w="3735" w:type="dxa"/>
            <w:tcBorders>
              <w:top w:val="dotted" w:color="auto" w:sz="4" w:space="0"/>
              <w:left w:val="dotted" w:color="auto" w:sz="4" w:space="0"/>
              <w:bottom w:val="dotted" w:color="auto" w:sz="4" w:space="0"/>
              <w:right w:val="dotted" w:color="auto" w:sz="4" w:space="0"/>
            </w:tcBorders>
            <w:noWrap w:val="0"/>
            <w:vAlign w:val="center"/>
          </w:tcPr>
          <w:p w14:paraId="67EF1628">
            <w:pPr>
              <w:widowControl/>
              <w:autoSpaceDE w:val="0"/>
              <w:spacing w:line="240" w:lineRule="auto"/>
              <w:jc w:val="center"/>
              <w:textAlignment w:val="center"/>
              <w:rPr>
                <w:rFonts w:hint="eastAsia" w:ascii="仿宋" w:hAnsi="仿宋" w:eastAsia="仿宋" w:cs="仿宋"/>
                <w:color w:val="000000"/>
                <w:sz w:val="24"/>
                <w:szCs w:val="24"/>
                <w:highlight w:val="none"/>
              </w:rPr>
            </w:pPr>
            <w:r>
              <w:rPr>
                <w:rStyle w:val="14"/>
                <w:rFonts w:hint="eastAsia" w:ascii="仿宋" w:hAnsi="仿宋" w:eastAsia="仿宋" w:cs="仿宋"/>
                <w:sz w:val="24"/>
                <w:szCs w:val="24"/>
                <w:highlight w:val="none"/>
                <w:lang w:bidi="ar"/>
              </w:rPr>
              <w:t>绩效目标与年度任务对应性</w:t>
            </w:r>
          </w:p>
        </w:tc>
        <w:tc>
          <w:tcPr>
            <w:tcW w:w="810" w:type="dxa"/>
            <w:tcBorders>
              <w:top w:val="dotted" w:color="auto" w:sz="4" w:space="0"/>
              <w:left w:val="dotted" w:color="auto" w:sz="4" w:space="0"/>
              <w:bottom w:val="dotted" w:color="auto" w:sz="4" w:space="0"/>
              <w:right w:val="dotted" w:color="auto" w:sz="4" w:space="0"/>
            </w:tcBorders>
            <w:noWrap w:val="0"/>
            <w:vAlign w:val="center"/>
          </w:tcPr>
          <w:p w14:paraId="200FBD84">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1</w:t>
            </w:r>
          </w:p>
        </w:tc>
        <w:tc>
          <w:tcPr>
            <w:tcW w:w="744" w:type="dxa"/>
            <w:tcBorders>
              <w:top w:val="dotted" w:color="auto" w:sz="4" w:space="0"/>
              <w:left w:val="dotted" w:color="auto" w:sz="4" w:space="0"/>
              <w:bottom w:val="dotted" w:color="auto" w:sz="4" w:space="0"/>
              <w:right w:val="nil"/>
            </w:tcBorders>
            <w:noWrap/>
            <w:vAlign w:val="center"/>
          </w:tcPr>
          <w:p w14:paraId="35B859B0">
            <w:pPr>
              <w:widowControl/>
              <w:autoSpaceDE w:val="0"/>
              <w:spacing w:before="10" w:line="240" w:lineRule="auto"/>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r>
      <w:tr w14:paraId="45B6F85C">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noWrap/>
            <w:vAlign w:val="center"/>
          </w:tcPr>
          <w:p w14:paraId="17A3210B">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53E61BAE">
            <w:pPr>
              <w:rPr>
                <w:rFonts w:hint="eastAsia" w:ascii="仿宋" w:hAnsi="仿宋" w:eastAsia="仿宋" w:cs="仿宋"/>
                <w:sz w:val="24"/>
                <w:szCs w:val="24"/>
                <w:highlight w:val="none"/>
              </w:rPr>
            </w:pPr>
          </w:p>
        </w:tc>
        <w:tc>
          <w:tcPr>
            <w:tcW w:w="1333" w:type="dxa"/>
            <w:vMerge w:val="continue"/>
            <w:tcBorders>
              <w:top w:val="dotted" w:color="auto" w:sz="4" w:space="0"/>
              <w:left w:val="dotted" w:color="auto" w:sz="4" w:space="0"/>
              <w:bottom w:val="dotted" w:color="auto" w:sz="4" w:space="0"/>
              <w:right w:val="dotted" w:color="auto" w:sz="4" w:space="0"/>
            </w:tcBorders>
            <w:noWrap w:val="0"/>
            <w:vAlign w:val="center"/>
          </w:tcPr>
          <w:p w14:paraId="1A7384D6">
            <w:pPr>
              <w:rPr>
                <w:rFonts w:hint="eastAsia" w:ascii="仿宋" w:hAnsi="仿宋" w:eastAsia="仿宋" w:cs="仿宋"/>
                <w:sz w:val="24"/>
                <w:szCs w:val="24"/>
                <w:highlight w:val="none"/>
              </w:rPr>
            </w:pPr>
          </w:p>
        </w:tc>
        <w:tc>
          <w:tcPr>
            <w:tcW w:w="3735" w:type="dxa"/>
            <w:tcBorders>
              <w:top w:val="dotted" w:color="auto" w:sz="4" w:space="0"/>
              <w:left w:val="dotted" w:color="auto" w:sz="4" w:space="0"/>
              <w:bottom w:val="dotted" w:color="auto" w:sz="4" w:space="0"/>
              <w:right w:val="dotted" w:color="auto" w:sz="4" w:space="0"/>
            </w:tcBorders>
            <w:noWrap w:val="0"/>
            <w:vAlign w:val="center"/>
          </w:tcPr>
          <w:p w14:paraId="4E77E539">
            <w:pPr>
              <w:widowControl/>
              <w:autoSpaceDE w:val="0"/>
              <w:spacing w:line="240" w:lineRule="auto"/>
              <w:jc w:val="center"/>
              <w:textAlignment w:val="center"/>
              <w:rPr>
                <w:rFonts w:hint="eastAsia" w:ascii="仿宋" w:hAnsi="仿宋" w:eastAsia="仿宋" w:cs="仿宋"/>
                <w:color w:val="000000"/>
                <w:sz w:val="24"/>
                <w:szCs w:val="24"/>
                <w:highlight w:val="none"/>
              </w:rPr>
            </w:pPr>
            <w:r>
              <w:rPr>
                <w:rStyle w:val="14"/>
                <w:rFonts w:hint="eastAsia" w:ascii="仿宋" w:hAnsi="仿宋" w:eastAsia="仿宋" w:cs="仿宋"/>
                <w:sz w:val="24"/>
                <w:szCs w:val="24"/>
                <w:highlight w:val="none"/>
                <w:lang w:bidi="ar"/>
              </w:rPr>
              <w:t>绩效目标与预算资金匹配性</w:t>
            </w:r>
          </w:p>
        </w:tc>
        <w:tc>
          <w:tcPr>
            <w:tcW w:w="810" w:type="dxa"/>
            <w:tcBorders>
              <w:top w:val="dotted" w:color="auto" w:sz="4" w:space="0"/>
              <w:left w:val="dotted" w:color="auto" w:sz="4" w:space="0"/>
              <w:bottom w:val="dotted" w:color="auto" w:sz="4" w:space="0"/>
              <w:right w:val="dotted" w:color="auto" w:sz="4" w:space="0"/>
            </w:tcBorders>
            <w:noWrap w:val="0"/>
            <w:vAlign w:val="center"/>
          </w:tcPr>
          <w:p w14:paraId="37085BAF">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2</w:t>
            </w:r>
          </w:p>
        </w:tc>
        <w:tc>
          <w:tcPr>
            <w:tcW w:w="744" w:type="dxa"/>
            <w:tcBorders>
              <w:top w:val="dotted" w:color="auto" w:sz="4" w:space="0"/>
              <w:left w:val="dotted" w:color="auto" w:sz="4" w:space="0"/>
              <w:bottom w:val="dotted" w:color="auto" w:sz="4" w:space="0"/>
              <w:right w:val="nil"/>
            </w:tcBorders>
            <w:noWrap/>
            <w:vAlign w:val="center"/>
          </w:tcPr>
          <w:p w14:paraId="3999C6E3">
            <w:pPr>
              <w:widowControl/>
              <w:autoSpaceDE w:val="0"/>
              <w:spacing w:before="10" w:line="240" w:lineRule="auto"/>
              <w:jc w:val="center"/>
              <w:textAlignment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w:t>
            </w:r>
          </w:p>
        </w:tc>
      </w:tr>
      <w:tr w14:paraId="3269F363">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noWrap/>
            <w:vAlign w:val="center"/>
          </w:tcPr>
          <w:p w14:paraId="3784C780">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549B2DCA">
            <w:pPr>
              <w:rPr>
                <w:rFonts w:hint="eastAsia" w:ascii="仿宋" w:hAnsi="仿宋" w:eastAsia="仿宋" w:cs="仿宋"/>
                <w:sz w:val="24"/>
                <w:szCs w:val="24"/>
                <w:highlight w:val="none"/>
              </w:rPr>
            </w:pPr>
          </w:p>
        </w:tc>
        <w:tc>
          <w:tcPr>
            <w:tcW w:w="1333" w:type="dxa"/>
            <w:vMerge w:val="restart"/>
            <w:tcBorders>
              <w:top w:val="dotted" w:color="auto" w:sz="4" w:space="0"/>
              <w:left w:val="dotted" w:color="auto" w:sz="4" w:space="0"/>
              <w:bottom w:val="dotted" w:color="auto" w:sz="4" w:space="0"/>
              <w:right w:val="dotted" w:color="auto" w:sz="4" w:space="0"/>
            </w:tcBorders>
            <w:noWrap/>
            <w:vAlign w:val="center"/>
          </w:tcPr>
          <w:p w14:paraId="70318479">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预算配置</w:t>
            </w:r>
          </w:p>
          <w:p w14:paraId="773E007B">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p>
        </w:tc>
        <w:tc>
          <w:tcPr>
            <w:tcW w:w="3735" w:type="dxa"/>
            <w:tcBorders>
              <w:top w:val="dotted" w:color="auto" w:sz="4" w:space="0"/>
              <w:left w:val="dotted" w:color="auto" w:sz="4" w:space="0"/>
              <w:bottom w:val="dotted" w:color="auto" w:sz="4" w:space="0"/>
              <w:right w:val="dotted" w:color="auto" w:sz="4" w:space="0"/>
            </w:tcBorders>
            <w:noWrap/>
            <w:vAlign w:val="center"/>
          </w:tcPr>
          <w:p w14:paraId="406E63A8">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Style w:val="15"/>
                <w:rFonts w:hint="eastAsia" w:ascii="仿宋" w:hAnsi="仿宋" w:eastAsia="仿宋" w:cs="仿宋"/>
                <w:sz w:val="24"/>
                <w:szCs w:val="24"/>
                <w:highlight w:val="none"/>
                <w:lang w:bidi="ar"/>
              </w:rPr>
              <w:t>在职人员控制率</w:t>
            </w:r>
          </w:p>
        </w:tc>
        <w:tc>
          <w:tcPr>
            <w:tcW w:w="810" w:type="dxa"/>
            <w:tcBorders>
              <w:top w:val="dotted" w:color="auto" w:sz="4" w:space="0"/>
              <w:left w:val="dotted" w:color="auto" w:sz="4" w:space="0"/>
              <w:bottom w:val="dotted" w:color="auto" w:sz="4" w:space="0"/>
              <w:right w:val="dotted" w:color="auto" w:sz="4" w:space="0"/>
            </w:tcBorders>
            <w:noWrap/>
            <w:vAlign w:val="center"/>
          </w:tcPr>
          <w:p w14:paraId="03CC45D9">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3</w:t>
            </w:r>
          </w:p>
        </w:tc>
        <w:tc>
          <w:tcPr>
            <w:tcW w:w="744" w:type="dxa"/>
            <w:tcBorders>
              <w:top w:val="dotted" w:color="auto" w:sz="4" w:space="0"/>
              <w:left w:val="dotted" w:color="auto" w:sz="4" w:space="0"/>
              <w:bottom w:val="dotted" w:color="auto" w:sz="4" w:space="0"/>
              <w:right w:val="nil"/>
            </w:tcBorders>
            <w:noWrap/>
            <w:vAlign w:val="center"/>
          </w:tcPr>
          <w:p w14:paraId="66F4915C">
            <w:pPr>
              <w:widowControl/>
              <w:autoSpaceDE w:val="0"/>
              <w:spacing w:before="10" w:line="240" w:lineRule="auto"/>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w:t>
            </w:r>
          </w:p>
        </w:tc>
      </w:tr>
      <w:tr w14:paraId="7B87ADA4">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noWrap/>
            <w:vAlign w:val="center"/>
          </w:tcPr>
          <w:p w14:paraId="4DB92A3D">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0FDC241C">
            <w:pPr>
              <w:rPr>
                <w:rFonts w:hint="eastAsia" w:ascii="仿宋" w:hAnsi="仿宋" w:eastAsia="仿宋" w:cs="仿宋"/>
                <w:sz w:val="24"/>
                <w:szCs w:val="24"/>
                <w:highlight w:val="none"/>
              </w:rPr>
            </w:pPr>
          </w:p>
        </w:tc>
        <w:tc>
          <w:tcPr>
            <w:tcW w:w="1333" w:type="dxa"/>
            <w:vMerge w:val="continue"/>
            <w:tcBorders>
              <w:top w:val="dotted" w:color="auto" w:sz="4" w:space="0"/>
              <w:left w:val="dotted" w:color="auto" w:sz="4" w:space="0"/>
              <w:bottom w:val="dotted" w:color="auto" w:sz="4" w:space="0"/>
              <w:right w:val="dotted" w:color="auto" w:sz="4" w:space="0"/>
            </w:tcBorders>
            <w:noWrap/>
            <w:vAlign w:val="center"/>
          </w:tcPr>
          <w:p w14:paraId="45B92ECF">
            <w:pPr>
              <w:rPr>
                <w:rFonts w:hint="eastAsia" w:ascii="仿宋" w:hAnsi="仿宋" w:eastAsia="仿宋" w:cs="仿宋"/>
                <w:sz w:val="24"/>
                <w:szCs w:val="24"/>
                <w:highlight w:val="none"/>
              </w:rPr>
            </w:pPr>
          </w:p>
        </w:tc>
        <w:tc>
          <w:tcPr>
            <w:tcW w:w="3735" w:type="dxa"/>
            <w:tcBorders>
              <w:top w:val="dotted" w:color="auto" w:sz="4" w:space="0"/>
              <w:left w:val="dotted" w:color="auto" w:sz="4" w:space="0"/>
              <w:bottom w:val="dotted" w:color="auto" w:sz="4" w:space="0"/>
              <w:right w:val="dotted" w:color="auto" w:sz="4" w:space="0"/>
            </w:tcBorders>
            <w:noWrap/>
            <w:vAlign w:val="center"/>
          </w:tcPr>
          <w:p w14:paraId="30D2A24C">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Style w:val="15"/>
                <w:rFonts w:hint="eastAsia" w:ascii="仿宋" w:hAnsi="仿宋" w:eastAsia="仿宋" w:cs="仿宋"/>
                <w:sz w:val="24"/>
                <w:szCs w:val="24"/>
                <w:highlight w:val="none"/>
                <w:lang w:bidi="ar"/>
              </w:rPr>
              <w:t>“三公经费”变动率</w:t>
            </w:r>
          </w:p>
        </w:tc>
        <w:tc>
          <w:tcPr>
            <w:tcW w:w="810" w:type="dxa"/>
            <w:tcBorders>
              <w:top w:val="dotted" w:color="auto" w:sz="4" w:space="0"/>
              <w:left w:val="dotted" w:color="auto" w:sz="4" w:space="0"/>
              <w:bottom w:val="dotted" w:color="auto" w:sz="4" w:space="0"/>
              <w:right w:val="dotted" w:color="auto" w:sz="4" w:space="0"/>
            </w:tcBorders>
            <w:noWrap/>
            <w:vAlign w:val="center"/>
          </w:tcPr>
          <w:p w14:paraId="2B97750B">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3</w:t>
            </w:r>
          </w:p>
        </w:tc>
        <w:tc>
          <w:tcPr>
            <w:tcW w:w="744" w:type="dxa"/>
            <w:tcBorders>
              <w:top w:val="dotted" w:color="auto" w:sz="4" w:space="0"/>
              <w:left w:val="dotted" w:color="auto" w:sz="4" w:space="0"/>
              <w:bottom w:val="dotted" w:color="auto" w:sz="4" w:space="0"/>
              <w:right w:val="nil"/>
            </w:tcBorders>
            <w:noWrap/>
            <w:vAlign w:val="center"/>
          </w:tcPr>
          <w:p w14:paraId="52FC6019">
            <w:pPr>
              <w:widowControl/>
              <w:autoSpaceDE w:val="0"/>
              <w:spacing w:before="10" w:line="240" w:lineRule="auto"/>
              <w:jc w:val="center"/>
              <w:textAlignment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1</w:t>
            </w:r>
          </w:p>
        </w:tc>
      </w:tr>
      <w:tr w14:paraId="5B9F464B">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noWrap/>
            <w:vAlign w:val="center"/>
          </w:tcPr>
          <w:p w14:paraId="67E3BFA4">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1378D5A3">
            <w:pPr>
              <w:rPr>
                <w:rFonts w:hint="eastAsia" w:ascii="仿宋" w:hAnsi="仿宋" w:eastAsia="仿宋" w:cs="仿宋"/>
                <w:sz w:val="24"/>
                <w:szCs w:val="24"/>
                <w:highlight w:val="none"/>
              </w:rPr>
            </w:pPr>
          </w:p>
        </w:tc>
        <w:tc>
          <w:tcPr>
            <w:tcW w:w="1333" w:type="dxa"/>
            <w:vMerge w:val="continue"/>
            <w:tcBorders>
              <w:top w:val="dotted" w:color="auto" w:sz="4" w:space="0"/>
              <w:left w:val="dotted" w:color="auto" w:sz="4" w:space="0"/>
              <w:bottom w:val="dotted" w:color="auto" w:sz="4" w:space="0"/>
              <w:right w:val="dotted" w:color="auto" w:sz="4" w:space="0"/>
            </w:tcBorders>
            <w:noWrap/>
            <w:vAlign w:val="center"/>
          </w:tcPr>
          <w:p w14:paraId="59556C78">
            <w:pPr>
              <w:rPr>
                <w:rFonts w:hint="eastAsia" w:ascii="仿宋" w:hAnsi="仿宋" w:eastAsia="仿宋" w:cs="仿宋"/>
                <w:sz w:val="24"/>
                <w:szCs w:val="24"/>
                <w:highlight w:val="none"/>
              </w:rPr>
            </w:pPr>
          </w:p>
        </w:tc>
        <w:tc>
          <w:tcPr>
            <w:tcW w:w="3735" w:type="dxa"/>
            <w:tcBorders>
              <w:top w:val="dotted" w:color="auto" w:sz="4" w:space="0"/>
              <w:left w:val="dotted" w:color="auto" w:sz="4" w:space="0"/>
              <w:bottom w:val="dotted" w:color="auto" w:sz="4" w:space="0"/>
              <w:right w:val="dotted" w:color="auto" w:sz="4" w:space="0"/>
            </w:tcBorders>
            <w:noWrap/>
            <w:vAlign w:val="center"/>
          </w:tcPr>
          <w:p w14:paraId="067198C8">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Style w:val="15"/>
                <w:rFonts w:hint="eastAsia" w:ascii="仿宋" w:hAnsi="仿宋" w:eastAsia="仿宋" w:cs="仿宋"/>
                <w:sz w:val="24"/>
                <w:szCs w:val="24"/>
                <w:highlight w:val="none"/>
                <w:lang w:bidi="ar"/>
              </w:rPr>
              <w:t>重点支出安排率</w:t>
            </w:r>
          </w:p>
        </w:tc>
        <w:tc>
          <w:tcPr>
            <w:tcW w:w="810" w:type="dxa"/>
            <w:tcBorders>
              <w:top w:val="dotted" w:color="auto" w:sz="4" w:space="0"/>
              <w:left w:val="dotted" w:color="auto" w:sz="4" w:space="0"/>
              <w:bottom w:val="dotted" w:color="auto" w:sz="4" w:space="0"/>
              <w:right w:val="dotted" w:color="auto" w:sz="4" w:space="0"/>
            </w:tcBorders>
            <w:noWrap/>
            <w:vAlign w:val="center"/>
          </w:tcPr>
          <w:p w14:paraId="54B76802">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3</w:t>
            </w:r>
          </w:p>
        </w:tc>
        <w:tc>
          <w:tcPr>
            <w:tcW w:w="744" w:type="dxa"/>
            <w:tcBorders>
              <w:top w:val="dotted" w:color="auto" w:sz="4" w:space="0"/>
              <w:left w:val="dotted" w:color="auto" w:sz="4" w:space="0"/>
              <w:bottom w:val="dotted" w:color="auto" w:sz="4" w:space="0"/>
              <w:right w:val="nil"/>
            </w:tcBorders>
            <w:noWrap/>
            <w:vAlign w:val="center"/>
          </w:tcPr>
          <w:p w14:paraId="66F8BAC4">
            <w:pPr>
              <w:widowControl/>
              <w:autoSpaceDE w:val="0"/>
              <w:spacing w:before="10" w:line="240" w:lineRule="auto"/>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w:t>
            </w:r>
          </w:p>
        </w:tc>
      </w:tr>
      <w:tr w14:paraId="5E2CBA85">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noWrap/>
            <w:vAlign w:val="center"/>
          </w:tcPr>
          <w:p w14:paraId="28EB980A">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37390CA2">
            <w:pPr>
              <w:rPr>
                <w:rFonts w:hint="eastAsia" w:ascii="仿宋" w:hAnsi="仿宋" w:eastAsia="仿宋" w:cs="仿宋"/>
                <w:sz w:val="24"/>
                <w:szCs w:val="24"/>
                <w:highlight w:val="none"/>
              </w:rPr>
            </w:pPr>
          </w:p>
        </w:tc>
        <w:tc>
          <w:tcPr>
            <w:tcW w:w="5068" w:type="dxa"/>
            <w:gridSpan w:val="2"/>
            <w:tcBorders>
              <w:top w:val="dotted" w:color="auto" w:sz="4" w:space="0"/>
              <w:left w:val="dotted" w:color="auto" w:sz="4" w:space="0"/>
              <w:bottom w:val="single" w:color="auto" w:sz="8" w:space="0"/>
              <w:right w:val="dotted" w:color="auto" w:sz="4" w:space="0"/>
            </w:tcBorders>
            <w:noWrap/>
            <w:vAlign w:val="center"/>
          </w:tcPr>
          <w:p w14:paraId="5D69E52B">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bidi="ar"/>
              </w:rPr>
              <w:t>合计</w:t>
            </w:r>
          </w:p>
        </w:tc>
        <w:tc>
          <w:tcPr>
            <w:tcW w:w="810" w:type="dxa"/>
            <w:tcBorders>
              <w:top w:val="dotted" w:color="auto" w:sz="4" w:space="0"/>
              <w:left w:val="dotted" w:color="auto" w:sz="4" w:space="0"/>
              <w:bottom w:val="single" w:color="auto" w:sz="8" w:space="0"/>
              <w:right w:val="dotted" w:color="auto" w:sz="4" w:space="0"/>
            </w:tcBorders>
            <w:noWrap/>
            <w:vAlign w:val="center"/>
          </w:tcPr>
          <w:p w14:paraId="32767763">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bidi="ar"/>
              </w:rPr>
              <w:t>15</w:t>
            </w:r>
          </w:p>
        </w:tc>
        <w:tc>
          <w:tcPr>
            <w:tcW w:w="744" w:type="dxa"/>
            <w:tcBorders>
              <w:top w:val="dotted" w:color="auto" w:sz="4" w:space="0"/>
              <w:left w:val="dotted" w:color="auto" w:sz="4" w:space="0"/>
              <w:bottom w:val="single" w:color="auto" w:sz="8" w:space="0"/>
              <w:right w:val="nil"/>
            </w:tcBorders>
            <w:noWrap/>
            <w:vAlign w:val="center"/>
          </w:tcPr>
          <w:p w14:paraId="25C9ACA9">
            <w:pPr>
              <w:widowControl/>
              <w:autoSpaceDE w:val="0"/>
              <w:spacing w:before="10" w:line="240" w:lineRule="auto"/>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b/>
                <w:bCs w:val="0"/>
                <w:sz w:val="24"/>
                <w:szCs w:val="24"/>
                <w:highlight w:val="none"/>
                <w:lang w:val="en-US" w:eastAsia="zh-CN"/>
              </w:rPr>
              <w:t>13</w:t>
            </w:r>
          </w:p>
        </w:tc>
      </w:tr>
    </w:tbl>
    <w:p w14:paraId="08629C75">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textAlignment w:val="auto"/>
        <w:rPr>
          <w:rFonts w:hint="eastAsia" w:ascii="仿宋" w:hAnsi="仿宋" w:eastAsia="仿宋" w:cs="仿宋"/>
          <w:b/>
          <w:bCs/>
          <w:sz w:val="32"/>
          <w:szCs w:val="32"/>
          <w:highlight w:val="none"/>
        </w:rPr>
      </w:pPr>
      <w:r>
        <w:rPr>
          <w:rStyle w:val="14"/>
          <w:rFonts w:hint="eastAsia" w:ascii="仿宋" w:hAnsi="仿宋" w:eastAsia="仿宋" w:cs="仿宋"/>
          <w:b/>
          <w:bCs/>
          <w:sz w:val="32"/>
          <w:szCs w:val="32"/>
          <w:highlight w:val="none"/>
          <w:lang w:bidi="ar"/>
        </w:rPr>
        <w:t>1.目标设定情况</w:t>
      </w:r>
    </w:p>
    <w:p w14:paraId="24477C46">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4"/>
          <w:rFonts w:hint="eastAsia" w:ascii="仿宋" w:hAnsi="仿宋" w:eastAsia="仿宋" w:cs="仿宋"/>
          <w:sz w:val="32"/>
          <w:szCs w:val="32"/>
          <w:highlight w:val="none"/>
          <w:lang w:bidi="ar"/>
        </w:rPr>
      </w:pPr>
      <w:r>
        <w:rPr>
          <w:rStyle w:val="14"/>
          <w:rFonts w:hint="eastAsia" w:ascii="仿宋" w:hAnsi="仿宋" w:eastAsia="仿宋" w:cs="仿宋"/>
          <w:sz w:val="32"/>
          <w:szCs w:val="32"/>
          <w:highlight w:val="none"/>
          <w:lang w:bidi="ar"/>
        </w:rPr>
        <w:t>（1）绩效目标合法合规合理性</w:t>
      </w:r>
    </w:p>
    <w:p w14:paraId="2B7F615B">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bidi="ar"/>
        </w:rPr>
      </w:pPr>
      <w:r>
        <w:rPr>
          <w:rFonts w:hint="eastAsia" w:ascii="仿宋" w:hAnsi="仿宋" w:eastAsia="仿宋" w:cs="仿宋"/>
          <w:b w:val="0"/>
          <w:bCs w:val="0"/>
          <w:i w:val="0"/>
          <w:iCs w:val="0"/>
          <w:caps w:val="0"/>
          <w:color w:val="000000"/>
          <w:spacing w:val="0"/>
          <w:kern w:val="0"/>
          <w:sz w:val="32"/>
          <w:szCs w:val="32"/>
          <w:lang w:val="en-US" w:eastAsia="zh-CN"/>
        </w:rPr>
        <w:t>市消防支队</w:t>
      </w:r>
      <w:r>
        <w:rPr>
          <w:rFonts w:hint="eastAsia" w:ascii="仿宋" w:hAnsi="仿宋" w:eastAsia="仿宋" w:cs="仿宋"/>
          <w:kern w:val="2"/>
          <w:sz w:val="32"/>
          <w:szCs w:val="32"/>
          <w:lang w:val="en-US" w:eastAsia="zh-CN" w:bidi="ar"/>
        </w:rPr>
        <w:t>设立的整体支出绩效目标依据充分，符合客观实际、符合国家法律法规、国民经济和社会发展总体规划。本项满分1分，实际得分1分。</w:t>
      </w:r>
    </w:p>
    <w:p w14:paraId="4889222E">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4"/>
          <w:rFonts w:hint="eastAsia" w:ascii="仿宋" w:hAnsi="仿宋" w:eastAsia="仿宋" w:cs="仿宋"/>
          <w:sz w:val="32"/>
          <w:szCs w:val="32"/>
          <w:highlight w:val="none"/>
          <w:lang w:bidi="ar"/>
        </w:rPr>
      </w:pPr>
      <w:r>
        <w:rPr>
          <w:rStyle w:val="14"/>
          <w:rFonts w:hint="eastAsia" w:ascii="仿宋" w:hAnsi="仿宋" w:eastAsia="仿宋" w:cs="仿宋"/>
          <w:sz w:val="32"/>
          <w:szCs w:val="32"/>
          <w:highlight w:val="none"/>
          <w:lang w:bidi="ar"/>
        </w:rPr>
        <w:t>（2）绩效目标与部门职责的相符性</w:t>
      </w:r>
    </w:p>
    <w:p w14:paraId="04BFCCB7">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bidi="ar"/>
        </w:rPr>
      </w:pPr>
      <w:r>
        <w:rPr>
          <w:rFonts w:hint="eastAsia" w:ascii="仿宋" w:hAnsi="仿宋" w:eastAsia="仿宋" w:cs="仿宋"/>
          <w:b w:val="0"/>
          <w:bCs w:val="0"/>
          <w:i w:val="0"/>
          <w:iCs w:val="0"/>
          <w:caps w:val="0"/>
          <w:color w:val="000000"/>
          <w:spacing w:val="0"/>
          <w:kern w:val="0"/>
          <w:sz w:val="32"/>
          <w:szCs w:val="32"/>
          <w:lang w:val="en-US" w:eastAsia="zh-CN"/>
        </w:rPr>
        <w:t>市消防支队</w:t>
      </w:r>
      <w:r>
        <w:rPr>
          <w:rStyle w:val="16"/>
          <w:rFonts w:hint="eastAsia" w:ascii="仿宋" w:hAnsi="仿宋" w:eastAsia="仿宋" w:cs="仿宋"/>
          <w:sz w:val="32"/>
          <w:szCs w:val="32"/>
          <w:highlight w:val="none"/>
          <w:lang w:bidi="ar"/>
        </w:rPr>
        <w:t>的绩效目标符合部门“三定”方案确定的职责</w:t>
      </w:r>
      <w:r>
        <w:rPr>
          <w:rStyle w:val="16"/>
          <w:rFonts w:hint="eastAsia" w:ascii="仿宋" w:hAnsi="仿宋" w:eastAsia="仿宋" w:cs="仿宋"/>
          <w:sz w:val="32"/>
          <w:szCs w:val="32"/>
          <w:highlight w:val="none"/>
          <w:lang w:val="en-US" w:eastAsia="zh-CN" w:bidi="ar"/>
        </w:rPr>
        <w:t>相符</w:t>
      </w:r>
      <w:r>
        <w:rPr>
          <w:rStyle w:val="16"/>
          <w:rFonts w:hint="eastAsia" w:ascii="仿宋" w:hAnsi="仿宋" w:eastAsia="仿宋" w:cs="仿宋"/>
          <w:sz w:val="32"/>
          <w:szCs w:val="32"/>
          <w:highlight w:val="none"/>
          <w:lang w:bidi="ar"/>
        </w:rPr>
        <w:t>。</w:t>
      </w:r>
      <w:r>
        <w:rPr>
          <w:rFonts w:hint="eastAsia" w:ascii="仿宋" w:hAnsi="仿宋" w:eastAsia="仿宋" w:cs="仿宋"/>
          <w:kern w:val="2"/>
          <w:sz w:val="32"/>
          <w:szCs w:val="32"/>
          <w:lang w:val="en-US" w:eastAsia="zh-CN" w:bidi="ar"/>
        </w:rPr>
        <w:t>本项满分1分</w:t>
      </w:r>
      <w:r>
        <w:rPr>
          <w:rStyle w:val="16"/>
          <w:rFonts w:hint="eastAsia" w:ascii="仿宋" w:hAnsi="仿宋" w:eastAsia="仿宋" w:cs="仿宋"/>
          <w:sz w:val="32"/>
          <w:szCs w:val="32"/>
          <w:highlight w:val="none"/>
          <w:lang w:val="en-US" w:eastAsia="zh-CN" w:bidi="ar"/>
        </w:rPr>
        <w:t>，实际得分1分。</w:t>
      </w:r>
    </w:p>
    <w:p w14:paraId="2F3693F6">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4"/>
          <w:rFonts w:hint="eastAsia" w:ascii="仿宋" w:hAnsi="仿宋" w:eastAsia="仿宋" w:cs="仿宋"/>
          <w:sz w:val="32"/>
          <w:szCs w:val="32"/>
          <w:highlight w:val="none"/>
          <w:lang w:bidi="ar"/>
        </w:rPr>
      </w:pPr>
      <w:r>
        <w:rPr>
          <w:rStyle w:val="14"/>
          <w:rFonts w:hint="eastAsia" w:ascii="仿宋" w:hAnsi="仿宋" w:eastAsia="仿宋" w:cs="仿宋"/>
          <w:sz w:val="32"/>
          <w:szCs w:val="32"/>
          <w:highlight w:val="none"/>
          <w:lang w:bidi="ar"/>
        </w:rPr>
        <w:t>（3）绩效指标清晰量化程度</w:t>
      </w:r>
    </w:p>
    <w:p w14:paraId="63071E28">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bidi="ar"/>
        </w:rPr>
      </w:pPr>
      <w:r>
        <w:rPr>
          <w:rFonts w:hint="eastAsia" w:ascii="仿宋" w:hAnsi="仿宋" w:eastAsia="仿宋" w:cs="仿宋"/>
          <w:b w:val="0"/>
          <w:bCs w:val="0"/>
          <w:i w:val="0"/>
          <w:iCs w:val="0"/>
          <w:caps w:val="0"/>
          <w:color w:val="000000"/>
          <w:spacing w:val="0"/>
          <w:kern w:val="0"/>
          <w:sz w:val="32"/>
          <w:szCs w:val="32"/>
          <w:lang w:val="en-US" w:eastAsia="zh-CN"/>
        </w:rPr>
        <w:t>市消防支队</w:t>
      </w:r>
      <w:r>
        <w:rPr>
          <w:rFonts w:hint="eastAsia" w:ascii="仿宋" w:hAnsi="仿宋" w:eastAsia="仿宋" w:cs="仿宋"/>
          <w:kern w:val="2"/>
          <w:sz w:val="32"/>
          <w:szCs w:val="32"/>
          <w:lang w:val="en-US" w:eastAsia="zh-CN" w:bidi="ar"/>
        </w:rPr>
        <w:t>设置的</w:t>
      </w:r>
      <w:r>
        <w:rPr>
          <w:rFonts w:hint="eastAsia" w:ascii="仿宋" w:hAnsi="仿宋" w:eastAsia="仿宋" w:cs="仿宋"/>
          <w:color w:val="000000"/>
          <w:kern w:val="2"/>
          <w:sz w:val="32"/>
          <w:szCs w:val="32"/>
          <w:lang w:val="en-US" w:eastAsia="zh-CN" w:bidi="ar-SA"/>
        </w:rPr>
        <w:t>绩效目标基本具体细化为可量化评估的指标；绩效目标清晰可衡量</w:t>
      </w:r>
      <w:r>
        <w:rPr>
          <w:rFonts w:hint="eastAsia" w:ascii="仿宋" w:hAnsi="仿宋" w:eastAsia="仿宋" w:cs="仿宋"/>
          <w:kern w:val="2"/>
          <w:sz w:val="32"/>
          <w:szCs w:val="32"/>
          <w:lang w:val="en-US" w:eastAsia="zh-CN" w:bidi="ar"/>
        </w:rPr>
        <w:t>。本项满分1分</w:t>
      </w:r>
      <w:r>
        <w:rPr>
          <w:rStyle w:val="16"/>
          <w:rFonts w:hint="eastAsia" w:ascii="仿宋" w:hAnsi="仿宋" w:eastAsia="仿宋" w:cs="仿宋"/>
          <w:sz w:val="32"/>
          <w:szCs w:val="32"/>
          <w:highlight w:val="none"/>
          <w:lang w:val="en-US" w:eastAsia="zh-CN" w:bidi="ar"/>
        </w:rPr>
        <w:t>，实际得分1分。</w:t>
      </w:r>
    </w:p>
    <w:p w14:paraId="3F3ED268">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4"/>
          <w:rFonts w:hint="eastAsia" w:ascii="仿宋" w:hAnsi="仿宋" w:eastAsia="仿宋" w:cs="仿宋"/>
          <w:sz w:val="32"/>
          <w:szCs w:val="32"/>
          <w:highlight w:val="none"/>
          <w:lang w:bidi="ar"/>
        </w:rPr>
      </w:pPr>
      <w:r>
        <w:rPr>
          <w:rStyle w:val="14"/>
          <w:rFonts w:hint="eastAsia" w:ascii="仿宋" w:hAnsi="仿宋" w:eastAsia="仿宋" w:cs="仿宋"/>
          <w:sz w:val="32"/>
          <w:szCs w:val="32"/>
          <w:highlight w:val="none"/>
          <w:lang w:bidi="ar"/>
        </w:rPr>
        <w:t>（4）绩效目标与年度任务对应性</w:t>
      </w:r>
    </w:p>
    <w:p w14:paraId="290E67F2">
      <w:pPr>
        <w:pStyle w:val="9"/>
        <w:keepNext w:val="0"/>
        <w:keepLines w:val="0"/>
        <w:pageBreakBefore w:val="0"/>
        <w:widowControl/>
        <w:numPr>
          <w:ilvl w:val="0"/>
          <w:numId w:val="0"/>
        </w:numPr>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textAlignment w:val="auto"/>
        <w:rPr>
          <w:rStyle w:val="14"/>
          <w:rFonts w:hint="eastAsia" w:ascii="仿宋" w:hAnsi="仿宋" w:eastAsia="仿宋" w:cs="仿宋"/>
          <w:color w:val="000000"/>
          <w:sz w:val="32"/>
          <w:szCs w:val="32"/>
          <w:lang w:val="en-US" w:eastAsia="zh-CN" w:bidi="ar"/>
        </w:rPr>
      </w:pPr>
      <w:r>
        <w:rPr>
          <w:rFonts w:hint="eastAsia" w:ascii="仿宋" w:hAnsi="仿宋" w:eastAsia="仿宋" w:cs="仿宋"/>
          <w:b w:val="0"/>
          <w:bCs w:val="0"/>
          <w:i w:val="0"/>
          <w:iCs w:val="0"/>
          <w:caps w:val="0"/>
          <w:color w:val="000000"/>
          <w:spacing w:val="0"/>
          <w:kern w:val="0"/>
          <w:sz w:val="32"/>
          <w:szCs w:val="32"/>
          <w:lang w:val="en-US" w:eastAsia="zh-CN"/>
        </w:rPr>
        <w:t>市消防支队</w:t>
      </w:r>
      <w:r>
        <w:rPr>
          <w:rFonts w:hint="eastAsia" w:ascii="仿宋" w:hAnsi="仿宋" w:eastAsia="仿宋" w:cs="仿宋"/>
          <w:color w:val="auto"/>
          <w:kern w:val="2"/>
          <w:sz w:val="32"/>
          <w:szCs w:val="32"/>
          <w:lang w:val="en-US" w:eastAsia="zh-CN" w:bidi="ar"/>
        </w:rPr>
        <w:t>设置的绩效目标与年度的任务数或计划数相对应。</w:t>
      </w:r>
      <w:r>
        <w:rPr>
          <w:rFonts w:hint="eastAsia" w:ascii="仿宋" w:hAnsi="仿宋" w:eastAsia="仿宋" w:cs="仿宋"/>
          <w:kern w:val="2"/>
          <w:sz w:val="32"/>
          <w:szCs w:val="32"/>
          <w:lang w:val="en-US" w:eastAsia="zh-CN" w:bidi="ar"/>
        </w:rPr>
        <w:t>本项满分1分</w:t>
      </w:r>
      <w:r>
        <w:rPr>
          <w:rStyle w:val="16"/>
          <w:rFonts w:hint="eastAsia" w:ascii="仿宋" w:hAnsi="仿宋" w:eastAsia="仿宋" w:cs="仿宋"/>
          <w:sz w:val="32"/>
          <w:szCs w:val="32"/>
          <w:highlight w:val="none"/>
          <w:lang w:val="en-US" w:eastAsia="zh-CN" w:bidi="ar"/>
        </w:rPr>
        <w:t>，实际得分1分。</w:t>
      </w:r>
    </w:p>
    <w:p w14:paraId="0479E655">
      <w:pPr>
        <w:pStyle w:val="9"/>
        <w:keepNext w:val="0"/>
        <w:keepLines w:val="0"/>
        <w:pageBreakBefore w:val="0"/>
        <w:widowControl/>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4"/>
          <w:rFonts w:hint="eastAsia" w:ascii="仿宋" w:hAnsi="仿宋" w:eastAsia="仿宋" w:cs="仿宋"/>
          <w:sz w:val="32"/>
          <w:szCs w:val="32"/>
          <w:highlight w:val="none"/>
          <w:lang w:bidi="ar"/>
        </w:rPr>
      </w:pPr>
      <w:r>
        <w:rPr>
          <w:rStyle w:val="14"/>
          <w:rFonts w:hint="eastAsia" w:ascii="仿宋" w:hAnsi="仿宋" w:eastAsia="仿宋" w:cs="仿宋"/>
          <w:sz w:val="32"/>
          <w:szCs w:val="32"/>
          <w:highlight w:val="none"/>
          <w:lang w:bidi="ar"/>
        </w:rPr>
        <w:t>（5）绩效目标与预算资金匹配性</w:t>
      </w:r>
    </w:p>
    <w:p w14:paraId="513BD599">
      <w:pPr>
        <w:pStyle w:val="9"/>
        <w:keepNext w:val="0"/>
        <w:keepLines w:val="0"/>
        <w:pageBreakBefore w:val="0"/>
        <w:widowControl/>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6"/>
          <w:rFonts w:hint="eastAsia" w:ascii="仿宋" w:hAnsi="仿宋" w:eastAsia="仿宋" w:cs="仿宋"/>
          <w:sz w:val="32"/>
          <w:szCs w:val="32"/>
          <w:highlight w:val="none"/>
          <w:lang w:eastAsia="zh-CN" w:bidi="ar"/>
        </w:rPr>
      </w:pPr>
      <w:r>
        <w:rPr>
          <w:rStyle w:val="16"/>
          <w:rFonts w:hint="eastAsia" w:ascii="仿宋" w:hAnsi="仿宋" w:eastAsia="仿宋" w:cs="仿宋"/>
          <w:sz w:val="32"/>
          <w:szCs w:val="32"/>
          <w:highlight w:val="none"/>
          <w:lang w:eastAsia="zh-CN" w:bidi="ar"/>
        </w:rPr>
        <w:t>绩效目标表</w:t>
      </w:r>
      <w:r>
        <w:rPr>
          <w:rStyle w:val="16"/>
          <w:rFonts w:hint="eastAsia" w:ascii="仿宋" w:hAnsi="仿宋" w:eastAsia="仿宋" w:cs="仿宋"/>
          <w:sz w:val="32"/>
          <w:szCs w:val="32"/>
          <w:highlight w:val="none"/>
          <w:lang w:val="en-US" w:eastAsia="zh-CN" w:bidi="ar"/>
        </w:rPr>
        <w:t>中</w:t>
      </w:r>
      <w:r>
        <w:rPr>
          <w:rStyle w:val="16"/>
          <w:rFonts w:hint="eastAsia" w:ascii="仿宋" w:hAnsi="仿宋" w:eastAsia="仿宋" w:cs="仿宋"/>
          <w:sz w:val="32"/>
          <w:szCs w:val="32"/>
          <w:highlight w:val="none"/>
          <w:lang w:eastAsia="zh-CN" w:bidi="ar"/>
        </w:rPr>
        <w:t>年度资金总额</w:t>
      </w:r>
      <w:r>
        <w:rPr>
          <w:rStyle w:val="16"/>
          <w:rFonts w:hint="eastAsia" w:ascii="仿宋" w:hAnsi="仿宋" w:eastAsia="仿宋" w:cs="仿宋"/>
          <w:sz w:val="32"/>
          <w:szCs w:val="32"/>
          <w:highlight w:val="none"/>
          <w:lang w:val="en-US" w:eastAsia="zh-CN" w:bidi="ar"/>
        </w:rPr>
        <w:t>为</w:t>
      </w:r>
      <w:r>
        <w:rPr>
          <w:rFonts w:hint="eastAsia" w:ascii="仿宋" w:hAnsi="仿宋" w:eastAsia="仿宋" w:cs="仿宋"/>
          <w:sz w:val="32"/>
          <w:szCs w:val="32"/>
          <w:highlight w:val="none"/>
          <w:lang w:val="en-US" w:eastAsia="zh-CN"/>
        </w:rPr>
        <w:t>4,763</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51万</w:t>
      </w:r>
      <w:r>
        <w:rPr>
          <w:rStyle w:val="16"/>
          <w:rFonts w:hint="eastAsia" w:ascii="仿宋" w:hAnsi="仿宋" w:eastAsia="仿宋" w:cs="仿宋"/>
          <w:sz w:val="32"/>
          <w:szCs w:val="32"/>
          <w:highlight w:val="none"/>
          <w:lang w:eastAsia="zh-CN" w:bidi="ar"/>
        </w:rPr>
        <w:t>元，根据林芝市财政局下达的《关于</w:t>
      </w:r>
      <w:r>
        <w:rPr>
          <w:rStyle w:val="16"/>
          <w:rFonts w:hint="eastAsia" w:ascii="仿宋" w:hAnsi="仿宋" w:eastAsia="仿宋" w:cs="仿宋"/>
          <w:sz w:val="32"/>
          <w:szCs w:val="32"/>
          <w:highlight w:val="none"/>
          <w:lang w:val="en-US" w:eastAsia="zh-CN" w:bidi="ar"/>
        </w:rPr>
        <w:t>下达林芝市市级层面抗疫工作人员补助经费预算指标</w:t>
      </w:r>
      <w:r>
        <w:rPr>
          <w:rStyle w:val="16"/>
          <w:rFonts w:hint="eastAsia" w:ascii="仿宋" w:hAnsi="仿宋" w:eastAsia="仿宋" w:cs="仿宋"/>
          <w:sz w:val="32"/>
          <w:szCs w:val="32"/>
          <w:highlight w:val="none"/>
          <w:lang w:eastAsia="zh-CN" w:bidi="ar"/>
        </w:rPr>
        <w:t>的通知》林财</w:t>
      </w:r>
      <w:r>
        <w:rPr>
          <w:rStyle w:val="16"/>
          <w:rFonts w:hint="eastAsia" w:ascii="仿宋" w:hAnsi="仿宋" w:eastAsia="仿宋" w:cs="仿宋"/>
          <w:sz w:val="32"/>
          <w:szCs w:val="32"/>
          <w:highlight w:val="none"/>
          <w:lang w:val="en-US" w:eastAsia="zh-CN" w:bidi="ar"/>
        </w:rPr>
        <w:t>社</w:t>
      </w:r>
      <w:r>
        <w:rPr>
          <w:rStyle w:val="16"/>
          <w:rFonts w:hint="eastAsia" w:ascii="仿宋" w:hAnsi="仿宋" w:eastAsia="仿宋" w:cs="仿宋"/>
          <w:sz w:val="32"/>
          <w:szCs w:val="32"/>
          <w:highlight w:val="none"/>
          <w:lang w:eastAsia="zh-CN" w:bidi="ar"/>
        </w:rPr>
        <w:t>指〔20</w:t>
      </w:r>
      <w:r>
        <w:rPr>
          <w:rStyle w:val="16"/>
          <w:rFonts w:hint="eastAsia" w:ascii="仿宋" w:hAnsi="仿宋" w:eastAsia="仿宋" w:cs="仿宋"/>
          <w:sz w:val="32"/>
          <w:szCs w:val="32"/>
          <w:highlight w:val="none"/>
          <w:lang w:val="en-US" w:eastAsia="zh-CN" w:bidi="ar"/>
        </w:rPr>
        <w:t>23</w:t>
      </w:r>
      <w:r>
        <w:rPr>
          <w:rStyle w:val="16"/>
          <w:rFonts w:hint="eastAsia" w:ascii="仿宋" w:hAnsi="仿宋" w:eastAsia="仿宋" w:cs="仿宋"/>
          <w:sz w:val="32"/>
          <w:szCs w:val="32"/>
          <w:highlight w:val="none"/>
          <w:lang w:eastAsia="zh-CN" w:bidi="ar"/>
        </w:rPr>
        <w:t>〕</w:t>
      </w:r>
      <w:r>
        <w:rPr>
          <w:rStyle w:val="16"/>
          <w:rFonts w:hint="eastAsia" w:ascii="仿宋" w:hAnsi="仿宋" w:eastAsia="仿宋" w:cs="仿宋"/>
          <w:sz w:val="32"/>
          <w:szCs w:val="32"/>
          <w:highlight w:val="none"/>
          <w:lang w:val="en-US" w:eastAsia="zh-CN" w:bidi="ar"/>
        </w:rPr>
        <w:t>15</w:t>
      </w:r>
      <w:r>
        <w:rPr>
          <w:rStyle w:val="16"/>
          <w:rFonts w:hint="eastAsia" w:ascii="仿宋" w:hAnsi="仿宋" w:eastAsia="仿宋" w:cs="仿宋"/>
          <w:sz w:val="32"/>
          <w:szCs w:val="32"/>
          <w:highlight w:val="none"/>
          <w:lang w:eastAsia="zh-CN" w:bidi="ar"/>
        </w:rPr>
        <w:t>号、《关于</w:t>
      </w:r>
      <w:r>
        <w:rPr>
          <w:rStyle w:val="16"/>
          <w:rFonts w:hint="eastAsia" w:ascii="仿宋" w:hAnsi="仿宋" w:eastAsia="仿宋" w:cs="仿宋"/>
          <w:sz w:val="32"/>
          <w:szCs w:val="32"/>
          <w:highlight w:val="none"/>
          <w:lang w:val="en-US" w:eastAsia="zh-CN" w:bidi="ar"/>
        </w:rPr>
        <w:t>收回</w:t>
      </w:r>
      <w:r>
        <w:rPr>
          <w:rStyle w:val="16"/>
          <w:rFonts w:hint="eastAsia" w:ascii="仿宋" w:hAnsi="仿宋" w:eastAsia="仿宋" w:cs="仿宋"/>
          <w:sz w:val="32"/>
          <w:szCs w:val="32"/>
          <w:highlight w:val="none"/>
          <w:lang w:eastAsia="zh-CN" w:bidi="ar"/>
        </w:rPr>
        <w:t>202</w:t>
      </w:r>
      <w:r>
        <w:rPr>
          <w:rStyle w:val="16"/>
          <w:rFonts w:hint="eastAsia" w:ascii="仿宋" w:hAnsi="仿宋" w:eastAsia="仿宋" w:cs="仿宋"/>
          <w:sz w:val="32"/>
          <w:szCs w:val="32"/>
          <w:highlight w:val="none"/>
          <w:lang w:val="en-US" w:eastAsia="zh-CN" w:bidi="ar"/>
        </w:rPr>
        <w:t>3年预算内及存量结余资金</w:t>
      </w:r>
      <w:r>
        <w:rPr>
          <w:rStyle w:val="16"/>
          <w:rFonts w:hint="eastAsia" w:ascii="仿宋" w:hAnsi="仿宋" w:eastAsia="仿宋" w:cs="仿宋"/>
          <w:sz w:val="32"/>
          <w:szCs w:val="32"/>
          <w:highlight w:val="none"/>
          <w:lang w:eastAsia="zh-CN" w:bidi="ar"/>
        </w:rPr>
        <w:t>预算指标的通知》林财</w:t>
      </w:r>
      <w:r>
        <w:rPr>
          <w:rStyle w:val="16"/>
          <w:rFonts w:hint="eastAsia" w:ascii="仿宋" w:hAnsi="仿宋" w:eastAsia="仿宋" w:cs="仿宋"/>
          <w:sz w:val="32"/>
          <w:szCs w:val="32"/>
          <w:highlight w:val="none"/>
          <w:lang w:val="en-US" w:eastAsia="zh-CN" w:bidi="ar"/>
        </w:rPr>
        <w:t>社</w:t>
      </w:r>
      <w:r>
        <w:rPr>
          <w:rStyle w:val="16"/>
          <w:rFonts w:hint="eastAsia" w:ascii="仿宋" w:hAnsi="仿宋" w:eastAsia="仿宋" w:cs="仿宋"/>
          <w:sz w:val="32"/>
          <w:szCs w:val="32"/>
          <w:highlight w:val="none"/>
          <w:lang w:eastAsia="zh-CN" w:bidi="ar"/>
        </w:rPr>
        <w:t>指〔2023〕</w:t>
      </w:r>
      <w:r>
        <w:rPr>
          <w:rStyle w:val="16"/>
          <w:rFonts w:hint="eastAsia" w:ascii="仿宋" w:hAnsi="仿宋" w:eastAsia="仿宋" w:cs="仿宋"/>
          <w:sz w:val="32"/>
          <w:szCs w:val="32"/>
          <w:highlight w:val="none"/>
          <w:lang w:val="en-US" w:eastAsia="zh-CN" w:bidi="ar"/>
        </w:rPr>
        <w:t>124</w:t>
      </w:r>
      <w:r>
        <w:rPr>
          <w:rStyle w:val="16"/>
          <w:rFonts w:hint="eastAsia" w:ascii="仿宋" w:hAnsi="仿宋" w:eastAsia="仿宋" w:cs="仿宋"/>
          <w:sz w:val="32"/>
          <w:szCs w:val="32"/>
          <w:highlight w:val="none"/>
          <w:lang w:eastAsia="zh-CN" w:bidi="ar"/>
        </w:rPr>
        <w:t>号</w:t>
      </w:r>
      <w:r>
        <w:rPr>
          <w:rStyle w:val="16"/>
          <w:rFonts w:hint="eastAsia" w:ascii="仿宋" w:hAnsi="仿宋" w:eastAsia="仿宋" w:cs="仿宋"/>
          <w:sz w:val="32"/>
          <w:szCs w:val="32"/>
          <w:highlight w:val="none"/>
          <w:lang w:val="en-US" w:eastAsia="zh-CN" w:bidi="ar"/>
        </w:rPr>
        <w:t>等</w:t>
      </w:r>
      <w:r>
        <w:rPr>
          <w:rStyle w:val="16"/>
          <w:rFonts w:hint="eastAsia" w:ascii="仿宋" w:hAnsi="仿宋" w:eastAsia="仿宋" w:cs="仿宋"/>
          <w:sz w:val="32"/>
          <w:szCs w:val="32"/>
          <w:highlight w:val="none"/>
          <w:lang w:eastAsia="zh-CN" w:bidi="ar"/>
        </w:rPr>
        <w:t>，综合调</w:t>
      </w:r>
      <w:r>
        <w:rPr>
          <w:rStyle w:val="16"/>
          <w:rFonts w:hint="eastAsia" w:ascii="仿宋" w:hAnsi="仿宋" w:eastAsia="仿宋" w:cs="仿宋"/>
          <w:sz w:val="32"/>
          <w:szCs w:val="32"/>
          <w:highlight w:val="none"/>
          <w:lang w:val="en-US" w:eastAsia="zh-CN" w:bidi="ar"/>
        </w:rPr>
        <w:t>增</w:t>
      </w:r>
      <w:r>
        <w:rPr>
          <w:rFonts w:hint="eastAsia" w:ascii="仿宋" w:hAnsi="仿宋" w:eastAsia="仿宋" w:cs="仿宋"/>
          <w:sz w:val="32"/>
          <w:szCs w:val="32"/>
          <w:highlight w:val="none"/>
          <w:lang w:val="en-US" w:eastAsia="zh-CN"/>
        </w:rPr>
        <w:t>6,785.29万</w:t>
      </w:r>
      <w:r>
        <w:rPr>
          <w:rFonts w:hint="eastAsia" w:ascii="仿宋" w:hAnsi="仿宋" w:eastAsia="仿宋" w:cs="仿宋"/>
          <w:sz w:val="32"/>
          <w:szCs w:val="32"/>
          <w:highlight w:val="none"/>
        </w:rPr>
        <w:t>元</w:t>
      </w:r>
      <w:r>
        <w:rPr>
          <w:rFonts w:hint="eastAsia" w:ascii="仿宋" w:hAnsi="仿宋" w:eastAsia="仿宋" w:cs="仿宋"/>
          <w:sz w:val="32"/>
          <w:szCs w:val="32"/>
          <w:highlight w:val="none"/>
          <w:lang w:val="en-US" w:eastAsia="zh-CN"/>
        </w:rPr>
        <w:t>，</w:t>
      </w:r>
      <w:r>
        <w:rPr>
          <w:rStyle w:val="16"/>
          <w:rFonts w:hint="eastAsia" w:ascii="仿宋" w:hAnsi="仿宋" w:eastAsia="仿宋" w:cs="仿宋"/>
          <w:sz w:val="32"/>
          <w:szCs w:val="32"/>
          <w:highlight w:val="none"/>
          <w:lang w:eastAsia="zh-CN" w:bidi="ar"/>
        </w:rPr>
        <w:t>本年度调剂后部门预算资金总额</w:t>
      </w:r>
      <w:r>
        <w:rPr>
          <w:rFonts w:hint="eastAsia" w:ascii="仿宋" w:hAnsi="仿宋" w:eastAsia="仿宋" w:cs="仿宋"/>
          <w:sz w:val="32"/>
          <w:szCs w:val="32"/>
          <w:highlight w:val="none"/>
          <w:lang w:val="en-US" w:eastAsia="zh-CN"/>
        </w:rPr>
        <w:t>11,548</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80万</w:t>
      </w:r>
      <w:r>
        <w:rPr>
          <w:rStyle w:val="16"/>
          <w:rFonts w:hint="eastAsia" w:ascii="仿宋" w:hAnsi="仿宋" w:eastAsia="仿宋" w:cs="仿宋"/>
          <w:sz w:val="32"/>
          <w:szCs w:val="32"/>
          <w:highlight w:val="none"/>
          <w:lang w:eastAsia="zh-CN" w:bidi="ar"/>
        </w:rPr>
        <w:t>元。绩效目标与预算资金相匹配，</w:t>
      </w:r>
      <w:r>
        <w:rPr>
          <w:rStyle w:val="16"/>
          <w:rFonts w:hint="eastAsia" w:ascii="仿宋" w:hAnsi="仿宋" w:eastAsia="仿宋" w:cs="仿宋"/>
          <w:sz w:val="32"/>
          <w:szCs w:val="32"/>
          <w:highlight w:val="none"/>
          <w:lang w:val="en-US" w:eastAsia="zh-CN" w:bidi="ar"/>
        </w:rPr>
        <w:t>本项</w:t>
      </w:r>
      <w:r>
        <w:rPr>
          <w:rStyle w:val="16"/>
          <w:rFonts w:hint="eastAsia" w:ascii="仿宋" w:hAnsi="仿宋" w:eastAsia="仿宋" w:cs="仿宋"/>
          <w:sz w:val="32"/>
          <w:szCs w:val="32"/>
          <w:highlight w:val="none"/>
          <w:lang w:eastAsia="zh-CN" w:bidi="ar"/>
        </w:rPr>
        <w:t>满分2分，实际得分2分。</w:t>
      </w:r>
    </w:p>
    <w:p w14:paraId="0AC2FDE1">
      <w:pPr>
        <w:pStyle w:val="9"/>
        <w:keepNext w:val="0"/>
        <w:keepLines w:val="0"/>
        <w:pageBreakBefore w:val="0"/>
        <w:widowControl/>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textAlignment w:val="auto"/>
        <w:rPr>
          <w:rFonts w:hint="eastAsia" w:ascii="仿宋" w:hAnsi="仿宋" w:eastAsia="仿宋" w:cs="仿宋"/>
          <w:b/>
          <w:bCs/>
          <w:sz w:val="32"/>
          <w:szCs w:val="32"/>
          <w:highlight w:val="none"/>
        </w:rPr>
      </w:pPr>
      <w:r>
        <w:rPr>
          <w:rStyle w:val="14"/>
          <w:rFonts w:hint="eastAsia" w:ascii="仿宋" w:hAnsi="仿宋" w:eastAsia="仿宋" w:cs="仿宋"/>
          <w:b/>
          <w:bCs/>
          <w:sz w:val="32"/>
          <w:szCs w:val="32"/>
          <w:highlight w:val="none"/>
          <w:lang w:bidi="ar"/>
        </w:rPr>
        <w:t>2.预算配置情况</w:t>
      </w:r>
    </w:p>
    <w:p w14:paraId="4871D4EF">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5"/>
          <w:rFonts w:hint="eastAsia" w:ascii="仿宋" w:hAnsi="仿宋" w:eastAsia="仿宋" w:cs="仿宋"/>
          <w:sz w:val="32"/>
          <w:szCs w:val="32"/>
          <w:highlight w:val="none"/>
          <w:lang w:bidi="ar"/>
        </w:rPr>
      </w:pPr>
      <w:r>
        <w:rPr>
          <w:rStyle w:val="14"/>
          <w:rFonts w:hint="eastAsia" w:ascii="仿宋" w:hAnsi="仿宋" w:eastAsia="仿宋" w:cs="仿宋"/>
          <w:sz w:val="32"/>
          <w:szCs w:val="32"/>
          <w:highlight w:val="none"/>
          <w:lang w:bidi="ar"/>
        </w:rPr>
        <w:t>（1</w:t>
      </w:r>
      <w:r>
        <w:rPr>
          <w:rStyle w:val="14"/>
          <w:rFonts w:hint="eastAsia" w:ascii="仿宋" w:hAnsi="仿宋" w:eastAsia="仿宋" w:cs="仿宋"/>
          <w:sz w:val="32"/>
          <w:szCs w:val="32"/>
          <w:highlight w:val="none"/>
          <w:lang w:eastAsia="zh-CN" w:bidi="ar"/>
        </w:rPr>
        <w:t>）</w:t>
      </w:r>
      <w:r>
        <w:rPr>
          <w:rStyle w:val="15"/>
          <w:rFonts w:hint="eastAsia" w:ascii="仿宋" w:hAnsi="仿宋" w:eastAsia="仿宋" w:cs="仿宋"/>
          <w:sz w:val="32"/>
          <w:szCs w:val="32"/>
          <w:highlight w:val="none"/>
          <w:lang w:bidi="ar"/>
        </w:rPr>
        <w:t>在职人员控制率</w:t>
      </w:r>
    </w:p>
    <w:p w14:paraId="14DBD187">
      <w:pPr>
        <w:pStyle w:val="9"/>
        <w:keepNext w:val="0"/>
        <w:keepLines w:val="0"/>
        <w:pageBreakBefore w:val="0"/>
        <w:widowControl/>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left="0" w:right="0" w:rightChars="0" w:firstLine="640" w:firstLineChars="200"/>
        <w:jc w:val="left"/>
        <w:rPr>
          <w:rStyle w:val="15"/>
          <w:rFonts w:hint="eastAsia" w:ascii="仿宋" w:hAnsi="仿宋" w:eastAsia="仿宋" w:cs="仿宋"/>
          <w:color w:val="000000"/>
          <w:sz w:val="32"/>
          <w:szCs w:val="32"/>
          <w:highlight w:val="none"/>
          <w:lang w:val="en-US" w:eastAsia="zh-CN" w:bidi="ar"/>
        </w:rPr>
      </w:pPr>
      <w:r>
        <w:rPr>
          <w:rFonts w:hint="eastAsia" w:ascii="仿宋" w:hAnsi="仿宋" w:eastAsia="仿宋" w:cs="仿宋"/>
          <w:b w:val="0"/>
          <w:bCs w:val="0"/>
          <w:i w:val="0"/>
          <w:iCs w:val="0"/>
          <w:caps w:val="0"/>
          <w:color w:val="000000"/>
          <w:spacing w:val="0"/>
          <w:kern w:val="0"/>
          <w:sz w:val="32"/>
          <w:szCs w:val="32"/>
          <w:highlight w:val="none"/>
          <w:lang w:val="en-US" w:eastAsia="zh-CN"/>
        </w:rPr>
        <w:t>市消防支队</w:t>
      </w:r>
      <w:r>
        <w:rPr>
          <w:rStyle w:val="15"/>
          <w:rFonts w:hint="eastAsia" w:ascii="仿宋" w:hAnsi="仿宋" w:eastAsia="仿宋" w:cs="仿宋"/>
          <w:color w:val="000000"/>
          <w:sz w:val="32"/>
          <w:szCs w:val="32"/>
          <w:highlight w:val="none"/>
          <w:lang w:val="en-US" w:eastAsia="zh-CN" w:bidi="ar"/>
        </w:rPr>
        <w:t>2023年在职人员77人，核定编制为77名，在职人员控制率为100%。本项满分3分，扣0分，实际得分3分。</w:t>
      </w:r>
    </w:p>
    <w:p w14:paraId="26ED4256">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4"/>
          <w:rFonts w:hint="eastAsia" w:ascii="仿宋" w:hAnsi="仿宋" w:eastAsia="仿宋" w:cs="仿宋"/>
          <w:sz w:val="32"/>
          <w:szCs w:val="32"/>
          <w:highlight w:val="none"/>
          <w:lang w:bidi="ar"/>
        </w:rPr>
      </w:pPr>
      <w:r>
        <w:rPr>
          <w:rStyle w:val="14"/>
          <w:rFonts w:hint="eastAsia" w:ascii="仿宋" w:hAnsi="仿宋" w:eastAsia="仿宋" w:cs="仿宋"/>
          <w:sz w:val="32"/>
          <w:szCs w:val="32"/>
          <w:highlight w:val="none"/>
          <w:lang w:bidi="ar"/>
        </w:rPr>
        <w:t>（2）“三公经费”变动率</w:t>
      </w:r>
    </w:p>
    <w:p w14:paraId="2D307C54">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bidi="ar"/>
        </w:rPr>
      </w:pPr>
      <w:r>
        <w:rPr>
          <w:rFonts w:hint="eastAsia" w:ascii="仿宋" w:hAnsi="仿宋" w:eastAsia="仿宋" w:cs="仿宋"/>
          <w:b w:val="0"/>
          <w:bCs w:val="0"/>
          <w:i w:val="0"/>
          <w:iCs w:val="0"/>
          <w:caps w:val="0"/>
          <w:color w:val="000000"/>
          <w:spacing w:val="0"/>
          <w:kern w:val="0"/>
          <w:sz w:val="32"/>
          <w:szCs w:val="32"/>
          <w:lang w:val="en-US" w:eastAsia="zh-CN"/>
        </w:rPr>
        <w:t>市消防支队</w:t>
      </w:r>
      <w:r>
        <w:rPr>
          <w:rStyle w:val="14"/>
          <w:rFonts w:hint="eastAsia" w:ascii="仿宋" w:hAnsi="仿宋" w:eastAsia="仿宋" w:cs="仿宋"/>
          <w:color w:val="000000"/>
          <w:sz w:val="32"/>
          <w:szCs w:val="32"/>
          <w:lang w:val="en-US" w:eastAsia="zh-CN" w:bidi="ar"/>
        </w:rPr>
        <w:t>2023年三公经费预算数为0.00万元，2022年三公经费预算数为0.00万元，三公经费变动率为0,本项满分3分，扣2分，实际得分1分。</w:t>
      </w:r>
    </w:p>
    <w:p w14:paraId="56B9DC22">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4"/>
          <w:rFonts w:hint="eastAsia" w:ascii="仿宋" w:hAnsi="仿宋" w:eastAsia="仿宋" w:cs="仿宋"/>
          <w:sz w:val="32"/>
          <w:szCs w:val="32"/>
          <w:highlight w:val="none"/>
          <w:lang w:bidi="ar"/>
        </w:rPr>
      </w:pPr>
      <w:r>
        <w:rPr>
          <w:rStyle w:val="14"/>
          <w:rFonts w:hint="eastAsia" w:ascii="仿宋" w:hAnsi="仿宋" w:eastAsia="仿宋" w:cs="仿宋"/>
          <w:sz w:val="32"/>
          <w:szCs w:val="32"/>
          <w:highlight w:val="none"/>
          <w:lang w:bidi="ar"/>
        </w:rPr>
        <w:t>（3）重点支出安排率</w:t>
      </w:r>
    </w:p>
    <w:p w14:paraId="04CA8518">
      <w:pPr>
        <w:pStyle w:val="9"/>
        <w:keepNext w:val="0"/>
        <w:keepLines w:val="0"/>
        <w:pageBreakBefore w:val="0"/>
        <w:widowControl/>
        <w:numPr>
          <w:ilvl w:val="0"/>
          <w:numId w:val="0"/>
        </w:numPr>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rPr>
          <w:rStyle w:val="14"/>
          <w:rFonts w:hint="eastAsia" w:ascii="仿宋" w:hAnsi="仿宋" w:eastAsia="仿宋" w:cs="仿宋"/>
          <w:color w:val="000000"/>
          <w:sz w:val="32"/>
          <w:szCs w:val="32"/>
          <w:lang w:val="en-US" w:eastAsia="zh-CN" w:bidi="ar"/>
        </w:rPr>
      </w:pPr>
      <w:r>
        <w:rPr>
          <w:rFonts w:hint="eastAsia" w:ascii="仿宋" w:hAnsi="仿宋" w:eastAsia="仿宋" w:cs="仿宋"/>
          <w:b w:val="0"/>
          <w:bCs w:val="0"/>
          <w:i w:val="0"/>
          <w:iCs w:val="0"/>
          <w:caps w:val="0"/>
          <w:color w:val="000000"/>
          <w:spacing w:val="0"/>
          <w:kern w:val="0"/>
          <w:sz w:val="32"/>
          <w:szCs w:val="32"/>
          <w:lang w:val="en-US" w:eastAsia="zh-CN"/>
        </w:rPr>
        <w:t>市消防支队</w:t>
      </w:r>
      <w:r>
        <w:rPr>
          <w:rStyle w:val="16"/>
          <w:rFonts w:hint="eastAsia" w:ascii="仿宋" w:hAnsi="仿宋" w:eastAsia="仿宋" w:cs="仿宋"/>
          <w:sz w:val="32"/>
          <w:szCs w:val="32"/>
          <w:highlight w:val="none"/>
          <w:lang w:bidi="ar"/>
        </w:rPr>
        <w:t>将项目支出金额大于</w:t>
      </w:r>
      <w:r>
        <w:rPr>
          <w:rStyle w:val="16"/>
          <w:rFonts w:hint="eastAsia" w:ascii="仿宋" w:hAnsi="仿宋" w:eastAsia="仿宋" w:cs="仿宋"/>
          <w:sz w:val="32"/>
          <w:szCs w:val="32"/>
          <w:highlight w:val="none"/>
          <w:lang w:val="en-US" w:eastAsia="zh-CN" w:bidi="ar"/>
        </w:rPr>
        <w:t>20.00</w:t>
      </w:r>
      <w:r>
        <w:rPr>
          <w:rStyle w:val="16"/>
          <w:rFonts w:hint="eastAsia" w:ascii="仿宋" w:hAnsi="仿宋" w:eastAsia="仿宋" w:cs="仿宋"/>
          <w:sz w:val="32"/>
          <w:szCs w:val="32"/>
          <w:highlight w:val="none"/>
          <w:lang w:bidi="ar"/>
        </w:rPr>
        <w:t>万元的列为</w:t>
      </w:r>
      <w:r>
        <w:rPr>
          <w:rStyle w:val="16"/>
          <w:rFonts w:hint="eastAsia" w:ascii="仿宋" w:hAnsi="仿宋" w:eastAsia="仿宋" w:cs="仿宋"/>
          <w:sz w:val="32"/>
          <w:szCs w:val="32"/>
          <w:highlight w:val="none"/>
          <w:lang w:val="en-US" w:eastAsia="zh-CN" w:bidi="ar"/>
        </w:rPr>
        <w:t>重</w:t>
      </w:r>
      <w:r>
        <w:rPr>
          <w:rStyle w:val="16"/>
          <w:rFonts w:hint="eastAsia" w:ascii="仿宋" w:hAnsi="仿宋" w:eastAsia="仿宋" w:cs="仿宋"/>
          <w:sz w:val="32"/>
          <w:szCs w:val="32"/>
          <w:highlight w:val="none"/>
          <w:lang w:bidi="ar"/>
        </w:rPr>
        <w:t>点项目</w:t>
      </w:r>
      <w:r>
        <w:rPr>
          <w:rStyle w:val="14"/>
          <w:rFonts w:hint="eastAsia" w:ascii="仿宋" w:hAnsi="仿宋" w:eastAsia="仿宋" w:cs="仿宋"/>
          <w:color w:val="000000"/>
          <w:sz w:val="32"/>
          <w:szCs w:val="32"/>
          <w:lang w:val="en-US" w:eastAsia="zh-CN" w:bidi="ar"/>
        </w:rPr>
        <w:t>，2023年重点项</w:t>
      </w:r>
      <w:r>
        <w:rPr>
          <w:rStyle w:val="16"/>
          <w:rFonts w:hint="eastAsia" w:ascii="仿宋" w:hAnsi="仿宋" w:eastAsia="仿宋" w:cs="仿宋"/>
          <w:sz w:val="32"/>
          <w:szCs w:val="32"/>
          <w:highlight w:val="none"/>
          <w:lang w:bidi="ar"/>
        </w:rPr>
        <w:t>目</w:t>
      </w:r>
      <w:r>
        <w:rPr>
          <w:rStyle w:val="16"/>
          <w:rFonts w:hint="eastAsia" w:ascii="仿宋" w:hAnsi="仿宋" w:eastAsia="仿宋" w:cs="仿宋"/>
          <w:sz w:val="32"/>
          <w:szCs w:val="32"/>
          <w:highlight w:val="none"/>
          <w:lang w:val="en-US" w:eastAsia="zh-CN" w:bidi="ar"/>
        </w:rPr>
        <w:t>26</w:t>
      </w:r>
      <w:r>
        <w:rPr>
          <w:rStyle w:val="16"/>
          <w:rFonts w:hint="eastAsia" w:ascii="仿宋" w:hAnsi="仿宋" w:eastAsia="仿宋" w:cs="仿宋"/>
          <w:sz w:val="32"/>
          <w:szCs w:val="32"/>
          <w:highlight w:val="none"/>
          <w:lang w:bidi="ar"/>
        </w:rPr>
        <w:t>个，合计</w:t>
      </w:r>
      <w:r>
        <w:rPr>
          <w:rStyle w:val="16"/>
          <w:rFonts w:hint="eastAsia" w:ascii="仿宋" w:hAnsi="仿宋" w:eastAsia="仿宋" w:cs="仿宋"/>
          <w:sz w:val="32"/>
          <w:szCs w:val="32"/>
          <w:highlight w:val="none"/>
          <w:lang w:val="en-US" w:eastAsia="zh-CN" w:bidi="ar"/>
        </w:rPr>
        <w:t>支出</w:t>
      </w:r>
      <w:r>
        <w:rPr>
          <w:rStyle w:val="16"/>
          <w:rFonts w:hint="eastAsia" w:ascii="仿宋" w:hAnsi="仿宋" w:eastAsia="仿宋" w:cs="仿宋"/>
          <w:sz w:val="32"/>
          <w:szCs w:val="32"/>
          <w:highlight w:val="none"/>
          <w:lang w:bidi="ar"/>
        </w:rPr>
        <w:t>金额为</w:t>
      </w:r>
      <w:r>
        <w:rPr>
          <w:rStyle w:val="16"/>
          <w:rFonts w:hint="eastAsia" w:ascii="仿宋" w:hAnsi="仿宋" w:eastAsia="仿宋" w:cs="仿宋"/>
          <w:sz w:val="32"/>
          <w:szCs w:val="32"/>
          <w:highlight w:val="none"/>
          <w:lang w:val="en-US" w:eastAsia="zh-CN" w:bidi="ar"/>
        </w:rPr>
        <w:t>5,336.92</w:t>
      </w:r>
      <w:r>
        <w:rPr>
          <w:rStyle w:val="16"/>
          <w:rFonts w:hint="eastAsia" w:ascii="仿宋" w:hAnsi="仿宋" w:eastAsia="仿宋" w:cs="仿宋"/>
          <w:sz w:val="32"/>
          <w:szCs w:val="32"/>
          <w:highlight w:val="none"/>
          <w:lang w:bidi="ar"/>
        </w:rPr>
        <w:t>万元</w:t>
      </w:r>
      <w:r>
        <w:rPr>
          <w:rStyle w:val="16"/>
          <w:rFonts w:hint="eastAsia" w:ascii="仿宋" w:hAnsi="仿宋" w:eastAsia="仿宋" w:cs="仿宋"/>
          <w:sz w:val="32"/>
          <w:szCs w:val="32"/>
          <w:highlight w:val="none"/>
          <w:lang w:eastAsia="zh-CN" w:bidi="ar"/>
        </w:rPr>
        <w:t>，</w:t>
      </w:r>
      <w:r>
        <w:rPr>
          <w:rStyle w:val="16"/>
          <w:rFonts w:hint="eastAsia" w:ascii="仿宋" w:hAnsi="仿宋" w:eastAsia="仿宋" w:cs="仿宋"/>
          <w:sz w:val="32"/>
          <w:szCs w:val="32"/>
          <w:highlight w:val="none"/>
          <w:lang w:bidi="ar"/>
        </w:rPr>
        <w:t>项目总支出</w:t>
      </w:r>
      <w:r>
        <w:rPr>
          <w:rStyle w:val="16"/>
          <w:rFonts w:hint="eastAsia" w:ascii="仿宋" w:hAnsi="仿宋" w:eastAsia="仿宋" w:cs="仿宋"/>
          <w:sz w:val="32"/>
          <w:szCs w:val="32"/>
          <w:highlight w:val="none"/>
          <w:lang w:val="en-US" w:eastAsia="zh-CN" w:bidi="ar"/>
        </w:rPr>
        <w:t>5,374.86</w:t>
      </w:r>
      <w:r>
        <w:rPr>
          <w:rStyle w:val="16"/>
          <w:rFonts w:hint="eastAsia" w:ascii="仿宋" w:hAnsi="仿宋" w:eastAsia="仿宋" w:cs="仿宋"/>
          <w:sz w:val="32"/>
          <w:szCs w:val="32"/>
          <w:highlight w:val="none"/>
          <w:lang w:bidi="ar"/>
        </w:rPr>
        <w:t>万元。重点项目安排率为</w:t>
      </w:r>
      <w:r>
        <w:rPr>
          <w:rStyle w:val="16"/>
          <w:rFonts w:hint="eastAsia" w:ascii="仿宋" w:hAnsi="仿宋" w:eastAsia="仿宋" w:cs="仿宋"/>
          <w:sz w:val="32"/>
          <w:szCs w:val="32"/>
          <w:highlight w:val="none"/>
          <w:lang w:val="en-US" w:eastAsia="zh-CN" w:bidi="ar"/>
        </w:rPr>
        <w:t>99.29</w:t>
      </w:r>
      <w:r>
        <w:rPr>
          <w:rStyle w:val="16"/>
          <w:rFonts w:hint="eastAsia" w:ascii="仿宋" w:hAnsi="仿宋" w:eastAsia="仿宋" w:cs="仿宋"/>
          <w:sz w:val="32"/>
          <w:szCs w:val="32"/>
          <w:highlight w:val="none"/>
          <w:lang w:bidi="ar"/>
        </w:rPr>
        <w:t>%</w:t>
      </w:r>
      <w:r>
        <w:rPr>
          <w:rStyle w:val="14"/>
          <w:rFonts w:hint="eastAsia" w:ascii="仿宋" w:hAnsi="仿宋" w:eastAsia="仿宋" w:cs="仿宋"/>
          <w:color w:val="000000"/>
          <w:sz w:val="32"/>
          <w:szCs w:val="32"/>
          <w:lang w:val="en-US" w:eastAsia="zh-CN" w:bidi="ar"/>
        </w:rPr>
        <w:t>。本项满分3分，实际得分3分。</w:t>
      </w:r>
    </w:p>
    <w:p w14:paraId="022BE5B6">
      <w:pPr>
        <w:pStyle w:val="9"/>
        <w:keepNext w:val="0"/>
        <w:keepLines w:val="0"/>
        <w:pageBreakBefore w:val="0"/>
        <w:widowControl/>
        <w:kinsoku/>
        <w:wordWrap/>
        <w:overflowPunct/>
        <w:topLinePunct w:val="0"/>
        <w:autoSpaceDE/>
        <w:autoSpaceDN/>
        <w:bidi w:val="0"/>
        <w:adjustRightInd/>
        <w:snapToGrid/>
        <w:spacing w:before="165" w:beforeLines="50" w:after="165" w:afterLines="50"/>
        <w:ind w:firstLine="482"/>
        <w:textAlignment w:val="auto"/>
        <w:outlineLvl w:val="1"/>
        <w:rPr>
          <w:rFonts w:hint="eastAsia" w:ascii="仿宋" w:hAnsi="仿宋" w:eastAsia="仿宋" w:cs="仿宋"/>
          <w:b/>
          <w:bCs/>
          <w:sz w:val="32"/>
          <w:szCs w:val="32"/>
          <w:highlight w:val="none"/>
        </w:rPr>
      </w:pPr>
      <w:bookmarkStart w:id="22" w:name="_Toc8297"/>
      <w:r>
        <w:rPr>
          <w:rFonts w:hint="eastAsia" w:ascii="仿宋" w:hAnsi="仿宋" w:eastAsia="仿宋" w:cs="仿宋"/>
          <w:b/>
          <w:bCs/>
          <w:sz w:val="32"/>
          <w:szCs w:val="32"/>
          <w:highlight w:val="none"/>
          <w:lang w:bidi="ar"/>
        </w:rPr>
        <w:t>（二）项目过程情况</w:t>
      </w:r>
      <w:bookmarkEnd w:id="22"/>
    </w:p>
    <w:p w14:paraId="11CA4F72">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kern w:val="2"/>
          <w:sz w:val="32"/>
          <w:szCs w:val="32"/>
          <w:highlight w:val="none"/>
        </w:rPr>
      </w:pPr>
      <w:r>
        <w:rPr>
          <w:rFonts w:hint="eastAsia" w:ascii="仿宋" w:hAnsi="仿宋" w:eastAsia="仿宋" w:cs="仿宋"/>
          <w:kern w:val="2"/>
          <w:sz w:val="32"/>
          <w:szCs w:val="32"/>
          <w:highlight w:val="none"/>
          <w:lang w:bidi="ar"/>
        </w:rPr>
        <w:t>从预算执行、预算管理、资产管理三个方面进行评价，满分为49分，总得分</w:t>
      </w:r>
      <w:r>
        <w:rPr>
          <w:rFonts w:hint="eastAsia" w:ascii="仿宋" w:hAnsi="仿宋" w:eastAsia="仿宋" w:cs="仿宋"/>
          <w:kern w:val="2"/>
          <w:sz w:val="32"/>
          <w:szCs w:val="32"/>
          <w:highlight w:val="none"/>
          <w:lang w:val="en-US" w:eastAsia="zh-CN" w:bidi="ar"/>
        </w:rPr>
        <w:t>26</w:t>
      </w:r>
      <w:r>
        <w:rPr>
          <w:rFonts w:hint="eastAsia" w:ascii="仿宋" w:hAnsi="仿宋" w:eastAsia="仿宋" w:cs="仿宋"/>
          <w:kern w:val="2"/>
          <w:sz w:val="32"/>
          <w:szCs w:val="32"/>
          <w:highlight w:val="none"/>
          <w:lang w:bidi="ar"/>
        </w:rPr>
        <w:t>分。</w:t>
      </w:r>
    </w:p>
    <w:p w14:paraId="42E837D6">
      <w:pPr>
        <w:pStyle w:val="4"/>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jc w:val="center"/>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表4-2项目过程情况得分表</w:t>
      </w:r>
    </w:p>
    <w:tbl>
      <w:tblPr>
        <w:tblStyle w:val="10"/>
        <w:tblW w:w="8595" w:type="dxa"/>
        <w:jc w:val="center"/>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
      <w:tblGrid>
        <w:gridCol w:w="1246"/>
        <w:gridCol w:w="727"/>
        <w:gridCol w:w="1537"/>
        <w:gridCol w:w="2910"/>
        <w:gridCol w:w="1110"/>
        <w:gridCol w:w="1065"/>
      </w:tblGrid>
      <w:tr w14:paraId="18951B5D">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blHeader/>
          <w:jc w:val="center"/>
        </w:trPr>
        <w:tc>
          <w:tcPr>
            <w:tcW w:w="1246" w:type="dxa"/>
            <w:tcBorders>
              <w:top w:val="single" w:color="auto" w:sz="8" w:space="0"/>
              <w:left w:val="nil"/>
              <w:bottom w:val="dotted" w:color="auto" w:sz="4" w:space="0"/>
              <w:right w:val="dotted" w:color="auto" w:sz="4" w:space="0"/>
            </w:tcBorders>
            <w:noWrap/>
            <w:vAlign w:val="center"/>
          </w:tcPr>
          <w:p w14:paraId="46423A89">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一级指标</w:t>
            </w:r>
          </w:p>
        </w:tc>
        <w:tc>
          <w:tcPr>
            <w:tcW w:w="727" w:type="dxa"/>
            <w:tcBorders>
              <w:top w:val="single" w:color="auto" w:sz="8" w:space="0"/>
              <w:left w:val="dotted" w:color="auto" w:sz="4" w:space="0"/>
              <w:bottom w:val="dotted" w:color="auto" w:sz="4" w:space="0"/>
              <w:right w:val="dotted" w:color="auto" w:sz="4" w:space="0"/>
            </w:tcBorders>
            <w:noWrap/>
            <w:vAlign w:val="center"/>
          </w:tcPr>
          <w:p w14:paraId="37C20ADD">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分值</w:t>
            </w:r>
          </w:p>
        </w:tc>
        <w:tc>
          <w:tcPr>
            <w:tcW w:w="1537" w:type="dxa"/>
            <w:tcBorders>
              <w:top w:val="single" w:color="auto" w:sz="8" w:space="0"/>
              <w:left w:val="dotted" w:color="auto" w:sz="4" w:space="0"/>
              <w:bottom w:val="dotted" w:color="auto" w:sz="4" w:space="0"/>
              <w:right w:val="dotted" w:color="auto" w:sz="4" w:space="0"/>
            </w:tcBorders>
            <w:noWrap/>
            <w:vAlign w:val="center"/>
          </w:tcPr>
          <w:p w14:paraId="54DBF617">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二级指标</w:t>
            </w:r>
          </w:p>
        </w:tc>
        <w:tc>
          <w:tcPr>
            <w:tcW w:w="2910" w:type="dxa"/>
            <w:tcBorders>
              <w:top w:val="single" w:color="auto" w:sz="8" w:space="0"/>
              <w:left w:val="dotted" w:color="auto" w:sz="4" w:space="0"/>
              <w:bottom w:val="dotted" w:color="auto" w:sz="4" w:space="0"/>
              <w:right w:val="dotted" w:color="auto" w:sz="4" w:space="0"/>
            </w:tcBorders>
            <w:noWrap/>
            <w:vAlign w:val="center"/>
          </w:tcPr>
          <w:p w14:paraId="68504B65">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三级指标</w:t>
            </w:r>
          </w:p>
        </w:tc>
        <w:tc>
          <w:tcPr>
            <w:tcW w:w="1110" w:type="dxa"/>
            <w:tcBorders>
              <w:top w:val="single" w:color="auto" w:sz="8" w:space="0"/>
              <w:left w:val="dotted" w:color="auto" w:sz="4" w:space="0"/>
              <w:bottom w:val="dotted" w:color="auto" w:sz="4" w:space="0"/>
              <w:right w:val="dotted" w:color="auto" w:sz="4" w:space="0"/>
            </w:tcBorders>
            <w:noWrap/>
            <w:vAlign w:val="center"/>
          </w:tcPr>
          <w:p w14:paraId="4EB97671">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分值</w:t>
            </w:r>
          </w:p>
        </w:tc>
        <w:tc>
          <w:tcPr>
            <w:tcW w:w="1065" w:type="dxa"/>
            <w:tcBorders>
              <w:top w:val="single" w:color="auto" w:sz="8" w:space="0"/>
              <w:left w:val="dotted" w:color="auto" w:sz="4" w:space="0"/>
              <w:bottom w:val="dotted" w:color="auto" w:sz="4" w:space="0"/>
              <w:right w:val="nil"/>
            </w:tcBorders>
            <w:noWrap/>
            <w:vAlign w:val="center"/>
          </w:tcPr>
          <w:p w14:paraId="6CC0A3E9">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得分</w:t>
            </w:r>
          </w:p>
        </w:tc>
      </w:tr>
      <w:tr w14:paraId="63E876DF">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restart"/>
            <w:tcBorders>
              <w:top w:val="dotted" w:color="auto" w:sz="4" w:space="0"/>
              <w:left w:val="nil"/>
              <w:bottom w:val="dotted" w:color="auto" w:sz="4" w:space="0"/>
              <w:right w:val="dotted" w:color="auto" w:sz="4" w:space="0"/>
            </w:tcBorders>
            <w:noWrap/>
            <w:vAlign w:val="center"/>
          </w:tcPr>
          <w:p w14:paraId="5A01CAB5">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过程</w:t>
            </w:r>
          </w:p>
        </w:tc>
        <w:tc>
          <w:tcPr>
            <w:tcW w:w="727" w:type="dxa"/>
            <w:vMerge w:val="restart"/>
            <w:tcBorders>
              <w:top w:val="dotted" w:color="auto" w:sz="4" w:space="0"/>
              <w:left w:val="dotted" w:color="auto" w:sz="4" w:space="0"/>
              <w:bottom w:val="dotted" w:color="auto" w:sz="4" w:space="0"/>
              <w:right w:val="dotted" w:color="auto" w:sz="4" w:space="0"/>
            </w:tcBorders>
            <w:noWrap/>
            <w:vAlign w:val="center"/>
          </w:tcPr>
          <w:p w14:paraId="3C45CFBF">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49</w:t>
            </w:r>
          </w:p>
        </w:tc>
        <w:tc>
          <w:tcPr>
            <w:tcW w:w="1537" w:type="dxa"/>
            <w:vMerge w:val="restart"/>
            <w:tcBorders>
              <w:top w:val="dotted" w:color="auto" w:sz="4" w:space="0"/>
              <w:left w:val="dotted" w:color="auto" w:sz="4" w:space="0"/>
              <w:bottom w:val="dotted" w:color="auto" w:sz="4" w:space="0"/>
              <w:right w:val="dotted" w:color="auto" w:sz="4" w:space="0"/>
            </w:tcBorders>
            <w:noWrap w:val="0"/>
            <w:vAlign w:val="center"/>
          </w:tcPr>
          <w:p w14:paraId="0E02D16E">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预算执行</w:t>
            </w:r>
          </w:p>
          <w:p w14:paraId="6D7384AB">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0"/>
            <w:vAlign w:val="center"/>
          </w:tcPr>
          <w:p w14:paraId="7027ECFB">
            <w:pPr>
              <w:widowControl/>
              <w:autoSpaceDE w:val="0"/>
              <w:spacing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预算完成率</w:t>
            </w:r>
          </w:p>
        </w:tc>
        <w:tc>
          <w:tcPr>
            <w:tcW w:w="1110" w:type="dxa"/>
            <w:tcBorders>
              <w:top w:val="dotted" w:color="auto" w:sz="4" w:space="0"/>
              <w:left w:val="dotted" w:color="auto" w:sz="4" w:space="0"/>
              <w:bottom w:val="dotted" w:color="auto" w:sz="4" w:space="0"/>
              <w:right w:val="dotted" w:color="auto" w:sz="4" w:space="0"/>
            </w:tcBorders>
            <w:noWrap w:val="0"/>
            <w:vAlign w:val="center"/>
          </w:tcPr>
          <w:p w14:paraId="63BA0B63">
            <w:pPr>
              <w:widowControl/>
              <w:autoSpaceDE w:val="0"/>
              <w:spacing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11</w:t>
            </w:r>
          </w:p>
        </w:tc>
        <w:tc>
          <w:tcPr>
            <w:tcW w:w="1065" w:type="dxa"/>
            <w:tcBorders>
              <w:top w:val="dotted" w:color="auto" w:sz="4" w:space="0"/>
              <w:left w:val="dotted" w:color="auto" w:sz="4" w:space="0"/>
              <w:bottom w:val="dotted" w:color="auto" w:sz="4" w:space="0"/>
              <w:right w:val="nil"/>
            </w:tcBorders>
            <w:noWrap/>
            <w:vAlign w:val="center"/>
          </w:tcPr>
          <w:p w14:paraId="03F959A4">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0</w:t>
            </w:r>
          </w:p>
        </w:tc>
      </w:tr>
      <w:tr w14:paraId="6C9EE7AE">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778A7DA5">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5CF35DAF">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noWrap w:val="0"/>
            <w:vAlign w:val="center"/>
          </w:tcPr>
          <w:p w14:paraId="0545F6B2">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0"/>
            <w:vAlign w:val="center"/>
          </w:tcPr>
          <w:p w14:paraId="388162CB">
            <w:pPr>
              <w:widowControl/>
              <w:autoSpaceDE w:val="0"/>
              <w:spacing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预算调整率</w:t>
            </w:r>
          </w:p>
        </w:tc>
        <w:tc>
          <w:tcPr>
            <w:tcW w:w="1110" w:type="dxa"/>
            <w:tcBorders>
              <w:top w:val="dotted" w:color="auto" w:sz="4" w:space="0"/>
              <w:left w:val="dotted" w:color="auto" w:sz="4" w:space="0"/>
              <w:bottom w:val="dotted" w:color="auto" w:sz="4" w:space="0"/>
              <w:right w:val="dotted" w:color="auto" w:sz="4" w:space="0"/>
            </w:tcBorders>
            <w:noWrap w:val="0"/>
            <w:vAlign w:val="center"/>
          </w:tcPr>
          <w:p w14:paraId="65E8BB2C">
            <w:pPr>
              <w:widowControl/>
              <w:autoSpaceDE w:val="0"/>
              <w:spacing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w:t>
            </w:r>
          </w:p>
        </w:tc>
        <w:tc>
          <w:tcPr>
            <w:tcW w:w="1065" w:type="dxa"/>
            <w:tcBorders>
              <w:top w:val="dotted" w:color="auto" w:sz="4" w:space="0"/>
              <w:left w:val="dotted" w:color="auto" w:sz="4" w:space="0"/>
              <w:bottom w:val="dotted" w:color="auto" w:sz="4" w:space="0"/>
              <w:right w:val="nil"/>
            </w:tcBorders>
            <w:noWrap/>
            <w:vAlign w:val="center"/>
          </w:tcPr>
          <w:p w14:paraId="05F2F270">
            <w:pPr>
              <w:widowControl/>
              <w:autoSpaceDE w:val="0"/>
              <w:spacing w:line="240" w:lineRule="auto"/>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0</w:t>
            </w:r>
          </w:p>
        </w:tc>
      </w:tr>
      <w:tr w14:paraId="36C3FB5A">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784DA6F1">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30CABAEC">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noWrap w:val="0"/>
            <w:vAlign w:val="center"/>
          </w:tcPr>
          <w:p w14:paraId="1C451162">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0"/>
            <w:vAlign w:val="center"/>
          </w:tcPr>
          <w:p w14:paraId="51AE2599">
            <w:pPr>
              <w:widowControl/>
              <w:autoSpaceDE w:val="0"/>
              <w:spacing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结转结余率</w:t>
            </w:r>
          </w:p>
        </w:tc>
        <w:tc>
          <w:tcPr>
            <w:tcW w:w="1110" w:type="dxa"/>
            <w:tcBorders>
              <w:top w:val="dotted" w:color="auto" w:sz="4" w:space="0"/>
              <w:left w:val="dotted" w:color="auto" w:sz="4" w:space="0"/>
              <w:bottom w:val="dotted" w:color="auto" w:sz="4" w:space="0"/>
              <w:right w:val="dotted" w:color="auto" w:sz="4" w:space="0"/>
            </w:tcBorders>
            <w:noWrap w:val="0"/>
            <w:vAlign w:val="center"/>
          </w:tcPr>
          <w:p w14:paraId="45CE4005">
            <w:pPr>
              <w:widowControl/>
              <w:autoSpaceDE w:val="0"/>
              <w:spacing w:line="240" w:lineRule="auto"/>
              <w:jc w:val="center"/>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val="en-US" w:eastAsia="zh-CN" w:bidi="ar"/>
              </w:rPr>
              <w:t>6</w:t>
            </w:r>
          </w:p>
        </w:tc>
        <w:tc>
          <w:tcPr>
            <w:tcW w:w="1065" w:type="dxa"/>
            <w:tcBorders>
              <w:top w:val="dotted" w:color="auto" w:sz="4" w:space="0"/>
              <w:left w:val="dotted" w:color="auto" w:sz="4" w:space="0"/>
              <w:bottom w:val="dotted" w:color="auto" w:sz="4" w:space="0"/>
              <w:right w:val="nil"/>
            </w:tcBorders>
            <w:noWrap/>
            <w:vAlign w:val="center"/>
          </w:tcPr>
          <w:p w14:paraId="4E4758D2">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0</w:t>
            </w:r>
          </w:p>
        </w:tc>
      </w:tr>
      <w:tr w14:paraId="649204ED">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0F4CD44E">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7818D02C">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noWrap w:val="0"/>
            <w:vAlign w:val="center"/>
          </w:tcPr>
          <w:p w14:paraId="4F9AEF57">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0"/>
            <w:vAlign w:val="center"/>
          </w:tcPr>
          <w:p w14:paraId="425BC9C1">
            <w:pPr>
              <w:widowControl/>
              <w:autoSpaceDE w:val="0"/>
              <w:spacing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结转结余变动率</w:t>
            </w:r>
          </w:p>
        </w:tc>
        <w:tc>
          <w:tcPr>
            <w:tcW w:w="1110" w:type="dxa"/>
            <w:tcBorders>
              <w:top w:val="dotted" w:color="auto" w:sz="4" w:space="0"/>
              <w:left w:val="dotted" w:color="auto" w:sz="4" w:space="0"/>
              <w:bottom w:val="dotted" w:color="auto" w:sz="4" w:space="0"/>
              <w:right w:val="dotted" w:color="auto" w:sz="4" w:space="0"/>
            </w:tcBorders>
            <w:noWrap w:val="0"/>
            <w:vAlign w:val="center"/>
          </w:tcPr>
          <w:p w14:paraId="6F86535B">
            <w:pPr>
              <w:widowControl/>
              <w:autoSpaceDE w:val="0"/>
              <w:spacing w:line="240" w:lineRule="auto"/>
              <w:jc w:val="center"/>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val="en-US" w:eastAsia="zh-CN" w:bidi="ar"/>
              </w:rPr>
              <w:t>1</w:t>
            </w:r>
          </w:p>
        </w:tc>
        <w:tc>
          <w:tcPr>
            <w:tcW w:w="1065" w:type="dxa"/>
            <w:tcBorders>
              <w:top w:val="dotted" w:color="auto" w:sz="4" w:space="0"/>
              <w:left w:val="dotted" w:color="auto" w:sz="4" w:space="0"/>
              <w:bottom w:val="dotted" w:color="auto" w:sz="4" w:space="0"/>
              <w:right w:val="nil"/>
            </w:tcBorders>
            <w:noWrap/>
            <w:vAlign w:val="center"/>
          </w:tcPr>
          <w:p w14:paraId="527BA700">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0</w:t>
            </w:r>
          </w:p>
        </w:tc>
      </w:tr>
      <w:tr w14:paraId="7320F7D5">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28543D58">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327C0DFA">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noWrap w:val="0"/>
            <w:vAlign w:val="center"/>
          </w:tcPr>
          <w:p w14:paraId="7400E927">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ign w:val="center"/>
          </w:tcPr>
          <w:p w14:paraId="3D1DEF19">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公用经费控制率</w:t>
            </w:r>
          </w:p>
        </w:tc>
        <w:tc>
          <w:tcPr>
            <w:tcW w:w="1110" w:type="dxa"/>
            <w:tcBorders>
              <w:top w:val="dotted" w:color="auto" w:sz="4" w:space="0"/>
              <w:left w:val="dotted" w:color="auto" w:sz="4" w:space="0"/>
              <w:bottom w:val="dotted" w:color="auto" w:sz="4" w:space="0"/>
              <w:right w:val="dotted" w:color="auto" w:sz="4" w:space="0"/>
            </w:tcBorders>
            <w:noWrap/>
            <w:vAlign w:val="center"/>
          </w:tcPr>
          <w:p w14:paraId="6853E0B7">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2</w:t>
            </w:r>
          </w:p>
        </w:tc>
        <w:tc>
          <w:tcPr>
            <w:tcW w:w="1065" w:type="dxa"/>
            <w:tcBorders>
              <w:top w:val="dotted" w:color="auto" w:sz="4" w:space="0"/>
              <w:left w:val="dotted" w:color="auto" w:sz="4" w:space="0"/>
              <w:bottom w:val="dotted" w:color="auto" w:sz="4" w:space="0"/>
              <w:right w:val="nil"/>
            </w:tcBorders>
            <w:noWrap/>
            <w:vAlign w:val="center"/>
          </w:tcPr>
          <w:p w14:paraId="2A014464">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2</w:t>
            </w:r>
          </w:p>
        </w:tc>
      </w:tr>
      <w:tr w14:paraId="1DCDB0D2">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3F35A18A">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05B5E415">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noWrap w:val="0"/>
            <w:vAlign w:val="center"/>
          </w:tcPr>
          <w:p w14:paraId="38801B77">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ign w:val="center"/>
          </w:tcPr>
          <w:p w14:paraId="7ADB020C">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“三公经费”控制率</w:t>
            </w:r>
          </w:p>
        </w:tc>
        <w:tc>
          <w:tcPr>
            <w:tcW w:w="1110" w:type="dxa"/>
            <w:tcBorders>
              <w:top w:val="dotted" w:color="auto" w:sz="4" w:space="0"/>
              <w:left w:val="dotted" w:color="auto" w:sz="4" w:space="0"/>
              <w:bottom w:val="dotted" w:color="auto" w:sz="4" w:space="0"/>
              <w:right w:val="dotted" w:color="auto" w:sz="4" w:space="0"/>
            </w:tcBorders>
            <w:noWrap/>
            <w:vAlign w:val="center"/>
          </w:tcPr>
          <w:p w14:paraId="4624C891">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2</w:t>
            </w:r>
          </w:p>
        </w:tc>
        <w:tc>
          <w:tcPr>
            <w:tcW w:w="1065" w:type="dxa"/>
            <w:tcBorders>
              <w:top w:val="dotted" w:color="auto" w:sz="4" w:space="0"/>
              <w:left w:val="dotted" w:color="auto" w:sz="4" w:space="0"/>
              <w:bottom w:val="dotted" w:color="auto" w:sz="4" w:space="0"/>
              <w:right w:val="nil"/>
            </w:tcBorders>
            <w:noWrap/>
            <w:vAlign w:val="center"/>
          </w:tcPr>
          <w:p w14:paraId="1226079A">
            <w:pPr>
              <w:widowControl/>
              <w:autoSpaceDE w:val="0"/>
              <w:spacing w:line="240" w:lineRule="auto"/>
              <w:jc w:val="center"/>
              <w:textAlignment w:val="center"/>
              <w:rPr>
                <w:rFonts w:hint="eastAsia" w:ascii="仿宋" w:hAnsi="仿宋" w:eastAsia="仿宋" w:cs="仿宋"/>
                <w:color w:val="000000"/>
                <w:kern w:val="0"/>
                <w:sz w:val="24"/>
                <w:szCs w:val="24"/>
                <w:highlight w:val="none"/>
                <w:lang w:val="en-US" w:bidi="ar"/>
              </w:rPr>
            </w:pPr>
            <w:r>
              <w:rPr>
                <w:rFonts w:hint="eastAsia" w:ascii="仿宋" w:hAnsi="仿宋" w:eastAsia="仿宋" w:cs="仿宋"/>
                <w:color w:val="000000"/>
                <w:kern w:val="0"/>
                <w:sz w:val="24"/>
                <w:szCs w:val="24"/>
                <w:highlight w:val="none"/>
                <w:lang w:val="en-US" w:eastAsia="zh-CN" w:bidi="ar"/>
              </w:rPr>
              <w:t>2</w:t>
            </w:r>
          </w:p>
        </w:tc>
      </w:tr>
      <w:tr w14:paraId="6BBA4D52">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37D60751">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67D57F6A">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noWrap w:val="0"/>
            <w:vAlign w:val="center"/>
          </w:tcPr>
          <w:p w14:paraId="2E87CB86">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ign w:val="center"/>
          </w:tcPr>
          <w:p w14:paraId="49490ABC">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政府采购执行率</w:t>
            </w:r>
          </w:p>
        </w:tc>
        <w:tc>
          <w:tcPr>
            <w:tcW w:w="1110" w:type="dxa"/>
            <w:tcBorders>
              <w:top w:val="dotted" w:color="auto" w:sz="4" w:space="0"/>
              <w:left w:val="dotted" w:color="auto" w:sz="4" w:space="0"/>
              <w:bottom w:val="dotted" w:color="auto" w:sz="4" w:space="0"/>
              <w:right w:val="dotted" w:color="auto" w:sz="4" w:space="0"/>
            </w:tcBorders>
            <w:noWrap/>
            <w:vAlign w:val="center"/>
          </w:tcPr>
          <w:p w14:paraId="14CDA37D">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3</w:t>
            </w:r>
          </w:p>
        </w:tc>
        <w:tc>
          <w:tcPr>
            <w:tcW w:w="1065" w:type="dxa"/>
            <w:tcBorders>
              <w:top w:val="dotted" w:color="auto" w:sz="4" w:space="0"/>
              <w:left w:val="dotted" w:color="auto" w:sz="4" w:space="0"/>
              <w:bottom w:val="dotted" w:color="auto" w:sz="4" w:space="0"/>
              <w:right w:val="nil"/>
            </w:tcBorders>
            <w:noWrap/>
            <w:vAlign w:val="center"/>
          </w:tcPr>
          <w:p w14:paraId="78AC0C1E">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0</w:t>
            </w:r>
          </w:p>
        </w:tc>
      </w:tr>
      <w:tr w14:paraId="5A5F4691">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45AE1C21">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1246FDB1">
            <w:pPr>
              <w:rPr>
                <w:rFonts w:hint="eastAsia" w:ascii="仿宋" w:hAnsi="仿宋" w:eastAsia="仿宋" w:cs="仿宋"/>
                <w:sz w:val="24"/>
                <w:szCs w:val="24"/>
                <w:highlight w:val="none"/>
              </w:rPr>
            </w:pPr>
          </w:p>
        </w:tc>
        <w:tc>
          <w:tcPr>
            <w:tcW w:w="1537" w:type="dxa"/>
            <w:vMerge w:val="restart"/>
            <w:tcBorders>
              <w:top w:val="dotted" w:color="auto" w:sz="4" w:space="0"/>
              <w:left w:val="dotted" w:color="auto" w:sz="4" w:space="0"/>
              <w:bottom w:val="dotted" w:color="auto" w:sz="4" w:space="0"/>
              <w:right w:val="dotted" w:color="auto" w:sz="4" w:space="0"/>
            </w:tcBorders>
            <w:noWrap/>
            <w:vAlign w:val="center"/>
          </w:tcPr>
          <w:p w14:paraId="188FC889">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预算管理</w:t>
            </w:r>
          </w:p>
        </w:tc>
        <w:tc>
          <w:tcPr>
            <w:tcW w:w="2910" w:type="dxa"/>
            <w:tcBorders>
              <w:top w:val="dotted" w:color="auto" w:sz="4" w:space="0"/>
              <w:left w:val="dotted" w:color="auto" w:sz="4" w:space="0"/>
              <w:bottom w:val="dotted" w:color="auto" w:sz="4" w:space="0"/>
              <w:right w:val="dotted" w:color="auto" w:sz="4" w:space="0"/>
            </w:tcBorders>
            <w:noWrap/>
            <w:vAlign w:val="center"/>
          </w:tcPr>
          <w:p w14:paraId="6437AD03">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管理制度健全性</w:t>
            </w:r>
          </w:p>
        </w:tc>
        <w:tc>
          <w:tcPr>
            <w:tcW w:w="1110" w:type="dxa"/>
            <w:tcBorders>
              <w:top w:val="dotted" w:color="auto" w:sz="4" w:space="0"/>
              <w:left w:val="dotted" w:color="auto" w:sz="4" w:space="0"/>
              <w:bottom w:val="dotted" w:color="auto" w:sz="4" w:space="0"/>
              <w:right w:val="dotted" w:color="auto" w:sz="4" w:space="0"/>
            </w:tcBorders>
            <w:noWrap/>
            <w:vAlign w:val="center"/>
          </w:tcPr>
          <w:p w14:paraId="1F77E73E">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3</w:t>
            </w:r>
          </w:p>
        </w:tc>
        <w:tc>
          <w:tcPr>
            <w:tcW w:w="1065" w:type="dxa"/>
            <w:tcBorders>
              <w:top w:val="dotted" w:color="auto" w:sz="4" w:space="0"/>
              <w:left w:val="dotted" w:color="auto" w:sz="4" w:space="0"/>
              <w:bottom w:val="dotted" w:color="auto" w:sz="4" w:space="0"/>
              <w:right w:val="nil"/>
            </w:tcBorders>
            <w:noWrap/>
            <w:vAlign w:val="center"/>
          </w:tcPr>
          <w:p w14:paraId="0AD0834B">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3</w:t>
            </w:r>
          </w:p>
        </w:tc>
      </w:tr>
      <w:tr w14:paraId="59E40B37">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4449D60F">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3BF8A8B0">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noWrap/>
            <w:vAlign w:val="center"/>
          </w:tcPr>
          <w:p w14:paraId="2F225707">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ign w:val="center"/>
          </w:tcPr>
          <w:p w14:paraId="29300972">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资金使用合规性</w:t>
            </w:r>
          </w:p>
        </w:tc>
        <w:tc>
          <w:tcPr>
            <w:tcW w:w="1110" w:type="dxa"/>
            <w:tcBorders>
              <w:top w:val="dotted" w:color="auto" w:sz="4" w:space="0"/>
              <w:left w:val="dotted" w:color="auto" w:sz="4" w:space="0"/>
              <w:bottom w:val="dotted" w:color="auto" w:sz="4" w:space="0"/>
              <w:right w:val="dotted" w:color="auto" w:sz="4" w:space="0"/>
            </w:tcBorders>
            <w:noWrap/>
            <w:vAlign w:val="center"/>
          </w:tcPr>
          <w:p w14:paraId="7E1688A6">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5</w:t>
            </w:r>
          </w:p>
        </w:tc>
        <w:tc>
          <w:tcPr>
            <w:tcW w:w="1065" w:type="dxa"/>
            <w:tcBorders>
              <w:top w:val="dotted" w:color="auto" w:sz="4" w:space="0"/>
              <w:left w:val="dotted" w:color="auto" w:sz="4" w:space="0"/>
              <w:bottom w:val="dotted" w:color="auto" w:sz="4" w:space="0"/>
              <w:right w:val="nil"/>
            </w:tcBorders>
            <w:noWrap/>
            <w:vAlign w:val="center"/>
          </w:tcPr>
          <w:p w14:paraId="3838AC6D">
            <w:pPr>
              <w:widowControl/>
              <w:autoSpaceDE w:val="0"/>
              <w:spacing w:line="240" w:lineRule="auto"/>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5</w:t>
            </w:r>
          </w:p>
        </w:tc>
      </w:tr>
      <w:tr w14:paraId="7421FEC1">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23435EC3">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1B249CDE">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noWrap/>
            <w:vAlign w:val="center"/>
          </w:tcPr>
          <w:p w14:paraId="66FCE507">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ign w:val="center"/>
          </w:tcPr>
          <w:p w14:paraId="2DBDAA42">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预决算信息公开性</w:t>
            </w:r>
          </w:p>
        </w:tc>
        <w:tc>
          <w:tcPr>
            <w:tcW w:w="1110" w:type="dxa"/>
            <w:tcBorders>
              <w:top w:val="dotted" w:color="auto" w:sz="4" w:space="0"/>
              <w:left w:val="dotted" w:color="auto" w:sz="4" w:space="0"/>
              <w:bottom w:val="dotted" w:color="auto" w:sz="4" w:space="0"/>
              <w:right w:val="dotted" w:color="auto" w:sz="4" w:space="0"/>
            </w:tcBorders>
            <w:noWrap/>
            <w:vAlign w:val="center"/>
          </w:tcPr>
          <w:p w14:paraId="2E970B52">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2</w:t>
            </w:r>
          </w:p>
        </w:tc>
        <w:tc>
          <w:tcPr>
            <w:tcW w:w="1065" w:type="dxa"/>
            <w:tcBorders>
              <w:top w:val="dotted" w:color="auto" w:sz="4" w:space="0"/>
              <w:left w:val="dotted" w:color="auto" w:sz="4" w:space="0"/>
              <w:bottom w:val="dotted" w:color="auto" w:sz="4" w:space="0"/>
              <w:right w:val="nil"/>
            </w:tcBorders>
            <w:noWrap/>
            <w:vAlign w:val="center"/>
          </w:tcPr>
          <w:p w14:paraId="027C0D47">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2</w:t>
            </w:r>
          </w:p>
        </w:tc>
      </w:tr>
      <w:tr w14:paraId="283AA592">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2ECFE5D2">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649EB394">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noWrap/>
            <w:vAlign w:val="center"/>
          </w:tcPr>
          <w:p w14:paraId="1A34BA0A">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ign w:val="center"/>
          </w:tcPr>
          <w:p w14:paraId="7E7CF62D">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基础信息完善性</w:t>
            </w:r>
          </w:p>
        </w:tc>
        <w:tc>
          <w:tcPr>
            <w:tcW w:w="1110" w:type="dxa"/>
            <w:tcBorders>
              <w:top w:val="dotted" w:color="auto" w:sz="4" w:space="0"/>
              <w:left w:val="dotted" w:color="auto" w:sz="4" w:space="0"/>
              <w:bottom w:val="dotted" w:color="auto" w:sz="4" w:space="0"/>
              <w:right w:val="dotted" w:color="auto" w:sz="4" w:space="0"/>
            </w:tcBorders>
            <w:noWrap/>
            <w:vAlign w:val="center"/>
          </w:tcPr>
          <w:p w14:paraId="32BB49C6">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2</w:t>
            </w:r>
          </w:p>
        </w:tc>
        <w:tc>
          <w:tcPr>
            <w:tcW w:w="1065" w:type="dxa"/>
            <w:tcBorders>
              <w:top w:val="dotted" w:color="auto" w:sz="4" w:space="0"/>
              <w:left w:val="dotted" w:color="auto" w:sz="4" w:space="0"/>
              <w:bottom w:val="dotted" w:color="auto" w:sz="4" w:space="0"/>
              <w:right w:val="nil"/>
            </w:tcBorders>
            <w:noWrap/>
            <w:vAlign w:val="center"/>
          </w:tcPr>
          <w:p w14:paraId="31C2EA57">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2</w:t>
            </w:r>
          </w:p>
        </w:tc>
      </w:tr>
      <w:tr w14:paraId="59EFF8B3">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5825F0B6">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7B041FC8">
            <w:pPr>
              <w:rPr>
                <w:rFonts w:hint="eastAsia" w:ascii="仿宋" w:hAnsi="仿宋" w:eastAsia="仿宋" w:cs="仿宋"/>
                <w:sz w:val="24"/>
                <w:szCs w:val="24"/>
                <w:highlight w:val="none"/>
              </w:rPr>
            </w:pPr>
          </w:p>
        </w:tc>
        <w:tc>
          <w:tcPr>
            <w:tcW w:w="1537" w:type="dxa"/>
            <w:vMerge w:val="restart"/>
            <w:tcBorders>
              <w:top w:val="dotted" w:color="auto" w:sz="4" w:space="0"/>
              <w:left w:val="dotted" w:color="auto" w:sz="4" w:space="0"/>
              <w:bottom w:val="dotted" w:color="auto" w:sz="4" w:space="0"/>
              <w:right w:val="dotted" w:color="auto" w:sz="4" w:space="0"/>
            </w:tcBorders>
            <w:noWrap/>
            <w:vAlign w:val="center"/>
          </w:tcPr>
          <w:p w14:paraId="46A17514">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资产管理</w:t>
            </w:r>
          </w:p>
        </w:tc>
        <w:tc>
          <w:tcPr>
            <w:tcW w:w="2910" w:type="dxa"/>
            <w:tcBorders>
              <w:top w:val="dotted" w:color="auto" w:sz="4" w:space="0"/>
              <w:left w:val="dotted" w:color="auto" w:sz="4" w:space="0"/>
              <w:bottom w:val="dotted" w:color="auto" w:sz="4" w:space="0"/>
              <w:right w:val="dotted" w:color="auto" w:sz="4" w:space="0"/>
            </w:tcBorders>
            <w:noWrap/>
            <w:vAlign w:val="center"/>
          </w:tcPr>
          <w:p w14:paraId="3FDD7192">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管理制度健全性</w:t>
            </w:r>
          </w:p>
        </w:tc>
        <w:tc>
          <w:tcPr>
            <w:tcW w:w="1110" w:type="dxa"/>
            <w:tcBorders>
              <w:top w:val="dotted" w:color="auto" w:sz="4" w:space="0"/>
              <w:left w:val="dotted" w:color="auto" w:sz="4" w:space="0"/>
              <w:bottom w:val="dotted" w:color="auto" w:sz="4" w:space="0"/>
              <w:right w:val="dotted" w:color="auto" w:sz="4" w:space="0"/>
            </w:tcBorders>
            <w:noWrap/>
            <w:vAlign w:val="center"/>
          </w:tcPr>
          <w:p w14:paraId="20E8E3F7">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3</w:t>
            </w:r>
          </w:p>
        </w:tc>
        <w:tc>
          <w:tcPr>
            <w:tcW w:w="1065" w:type="dxa"/>
            <w:tcBorders>
              <w:top w:val="dotted" w:color="auto" w:sz="4" w:space="0"/>
              <w:left w:val="dotted" w:color="auto" w:sz="4" w:space="0"/>
              <w:bottom w:val="dotted" w:color="auto" w:sz="4" w:space="0"/>
              <w:right w:val="nil"/>
            </w:tcBorders>
            <w:noWrap/>
            <w:vAlign w:val="center"/>
          </w:tcPr>
          <w:p w14:paraId="79FEFEAB">
            <w:pPr>
              <w:widowControl/>
              <w:autoSpaceDE w:val="0"/>
              <w:spacing w:line="240" w:lineRule="auto"/>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w:t>
            </w:r>
          </w:p>
        </w:tc>
      </w:tr>
      <w:tr w14:paraId="41B432CF">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1E6B09E7">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28E01B14">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noWrap/>
            <w:vAlign w:val="center"/>
          </w:tcPr>
          <w:p w14:paraId="1F79A025">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ign w:val="center"/>
          </w:tcPr>
          <w:p w14:paraId="1986A522">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资产管理安全性</w:t>
            </w:r>
          </w:p>
        </w:tc>
        <w:tc>
          <w:tcPr>
            <w:tcW w:w="1110" w:type="dxa"/>
            <w:tcBorders>
              <w:top w:val="dotted" w:color="auto" w:sz="4" w:space="0"/>
              <w:left w:val="dotted" w:color="auto" w:sz="4" w:space="0"/>
              <w:bottom w:val="dotted" w:color="auto" w:sz="4" w:space="0"/>
              <w:right w:val="dotted" w:color="auto" w:sz="4" w:space="0"/>
            </w:tcBorders>
            <w:noWrap/>
            <w:vAlign w:val="center"/>
          </w:tcPr>
          <w:p w14:paraId="012CC3D0">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5</w:t>
            </w:r>
          </w:p>
        </w:tc>
        <w:tc>
          <w:tcPr>
            <w:tcW w:w="1065" w:type="dxa"/>
            <w:tcBorders>
              <w:top w:val="dotted" w:color="auto" w:sz="4" w:space="0"/>
              <w:left w:val="dotted" w:color="auto" w:sz="4" w:space="0"/>
              <w:bottom w:val="dotted" w:color="auto" w:sz="4" w:space="0"/>
              <w:right w:val="nil"/>
            </w:tcBorders>
            <w:noWrap/>
            <w:vAlign w:val="center"/>
          </w:tcPr>
          <w:p w14:paraId="37A7A2C1">
            <w:pPr>
              <w:widowControl/>
              <w:autoSpaceDE w:val="0"/>
              <w:spacing w:line="240" w:lineRule="auto"/>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5</w:t>
            </w:r>
          </w:p>
        </w:tc>
      </w:tr>
      <w:tr w14:paraId="49A15219">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57E265F1">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4F6391E7">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noWrap/>
            <w:vAlign w:val="center"/>
          </w:tcPr>
          <w:p w14:paraId="05B67DCB">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ign w:val="center"/>
          </w:tcPr>
          <w:p w14:paraId="70E3E80D">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固定资产利用率</w:t>
            </w:r>
          </w:p>
        </w:tc>
        <w:tc>
          <w:tcPr>
            <w:tcW w:w="1110" w:type="dxa"/>
            <w:tcBorders>
              <w:top w:val="dotted" w:color="auto" w:sz="4" w:space="0"/>
              <w:left w:val="dotted" w:color="auto" w:sz="4" w:space="0"/>
              <w:bottom w:val="dotted" w:color="auto" w:sz="4" w:space="0"/>
              <w:right w:val="dotted" w:color="auto" w:sz="4" w:space="0"/>
            </w:tcBorders>
            <w:noWrap/>
            <w:vAlign w:val="center"/>
          </w:tcPr>
          <w:p w14:paraId="47885BB9">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2</w:t>
            </w:r>
          </w:p>
        </w:tc>
        <w:tc>
          <w:tcPr>
            <w:tcW w:w="1065" w:type="dxa"/>
            <w:tcBorders>
              <w:top w:val="dotted" w:color="auto" w:sz="4" w:space="0"/>
              <w:left w:val="dotted" w:color="auto" w:sz="4" w:space="0"/>
              <w:bottom w:val="dotted" w:color="auto" w:sz="4" w:space="0"/>
              <w:right w:val="nil"/>
            </w:tcBorders>
            <w:noWrap/>
            <w:vAlign w:val="center"/>
          </w:tcPr>
          <w:p w14:paraId="670121E8">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2</w:t>
            </w:r>
          </w:p>
        </w:tc>
      </w:tr>
      <w:tr w14:paraId="09D77CAD">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1279423C">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40EE46DE">
            <w:pPr>
              <w:rPr>
                <w:rFonts w:hint="eastAsia" w:ascii="仿宋" w:hAnsi="仿宋" w:eastAsia="仿宋" w:cs="仿宋"/>
                <w:sz w:val="24"/>
                <w:szCs w:val="24"/>
                <w:highlight w:val="none"/>
              </w:rPr>
            </w:pPr>
          </w:p>
        </w:tc>
        <w:tc>
          <w:tcPr>
            <w:tcW w:w="4447" w:type="dxa"/>
            <w:gridSpan w:val="2"/>
            <w:tcBorders>
              <w:top w:val="dotted" w:color="auto" w:sz="4" w:space="0"/>
              <w:left w:val="dotted" w:color="auto" w:sz="4" w:space="0"/>
              <w:bottom w:val="single" w:color="auto" w:sz="8" w:space="0"/>
              <w:right w:val="dotted" w:color="auto" w:sz="4" w:space="0"/>
            </w:tcBorders>
            <w:noWrap/>
            <w:vAlign w:val="center"/>
          </w:tcPr>
          <w:p w14:paraId="3BC04136">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b/>
                <w:bCs/>
                <w:color w:val="000000"/>
                <w:kern w:val="0"/>
                <w:sz w:val="24"/>
                <w:szCs w:val="24"/>
                <w:highlight w:val="none"/>
                <w:lang w:bidi="ar"/>
              </w:rPr>
              <w:t>合计</w:t>
            </w:r>
          </w:p>
        </w:tc>
        <w:tc>
          <w:tcPr>
            <w:tcW w:w="1110" w:type="dxa"/>
            <w:tcBorders>
              <w:top w:val="dotted" w:color="auto" w:sz="4" w:space="0"/>
              <w:left w:val="dotted" w:color="auto" w:sz="4" w:space="0"/>
              <w:bottom w:val="single" w:color="auto" w:sz="8" w:space="0"/>
              <w:right w:val="dotted" w:color="auto" w:sz="4" w:space="0"/>
            </w:tcBorders>
            <w:noWrap/>
            <w:vAlign w:val="center"/>
          </w:tcPr>
          <w:p w14:paraId="475711A4">
            <w:pPr>
              <w:widowControl/>
              <w:autoSpaceDE w:val="0"/>
              <w:spacing w:line="240" w:lineRule="auto"/>
              <w:jc w:val="center"/>
              <w:textAlignment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49</w:t>
            </w:r>
          </w:p>
        </w:tc>
        <w:tc>
          <w:tcPr>
            <w:tcW w:w="1065" w:type="dxa"/>
            <w:tcBorders>
              <w:top w:val="dotted" w:color="auto" w:sz="4" w:space="0"/>
              <w:left w:val="dotted" w:color="auto" w:sz="4" w:space="0"/>
              <w:bottom w:val="single" w:color="auto" w:sz="8" w:space="0"/>
              <w:right w:val="nil"/>
            </w:tcBorders>
            <w:noWrap/>
            <w:vAlign w:val="center"/>
          </w:tcPr>
          <w:p w14:paraId="4980C4D0">
            <w:pPr>
              <w:widowControl/>
              <w:autoSpaceDE w:val="0"/>
              <w:spacing w:before="10" w:line="240" w:lineRule="auto"/>
              <w:jc w:val="center"/>
              <w:textAlignment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26</w:t>
            </w:r>
          </w:p>
        </w:tc>
      </w:tr>
    </w:tbl>
    <w:p w14:paraId="73EBB754">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textAlignment w:val="auto"/>
        <w:rPr>
          <w:rFonts w:hint="eastAsia" w:ascii="仿宋" w:hAnsi="仿宋" w:eastAsia="仿宋" w:cs="仿宋"/>
          <w:b/>
          <w:bCs/>
          <w:kern w:val="2"/>
          <w:sz w:val="32"/>
          <w:szCs w:val="32"/>
          <w:highlight w:val="none"/>
        </w:rPr>
      </w:pPr>
      <w:r>
        <w:rPr>
          <w:rFonts w:hint="eastAsia" w:ascii="仿宋" w:hAnsi="仿宋" w:eastAsia="仿宋" w:cs="仿宋"/>
          <w:b/>
          <w:bCs/>
          <w:kern w:val="2"/>
          <w:sz w:val="32"/>
          <w:szCs w:val="32"/>
          <w:highlight w:val="none"/>
          <w:lang w:bidi="ar"/>
        </w:rPr>
        <w:t>1.预算执行情况</w:t>
      </w:r>
    </w:p>
    <w:p w14:paraId="5095B1F4">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kern w:val="2"/>
          <w:sz w:val="32"/>
          <w:szCs w:val="32"/>
          <w:highlight w:val="none"/>
          <w:lang w:bidi="ar"/>
        </w:rPr>
      </w:pPr>
      <w:r>
        <w:rPr>
          <w:rFonts w:hint="eastAsia" w:ascii="仿宋" w:hAnsi="仿宋" w:eastAsia="仿宋" w:cs="仿宋"/>
          <w:kern w:val="2"/>
          <w:sz w:val="32"/>
          <w:szCs w:val="32"/>
          <w:highlight w:val="none"/>
          <w:lang w:bidi="ar"/>
        </w:rPr>
        <w:t>（1）预算完成率</w:t>
      </w:r>
    </w:p>
    <w:p w14:paraId="5D3B7FFC">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b w:val="0"/>
          <w:bCs/>
          <w:color w:val="auto"/>
          <w:kern w:val="2"/>
          <w:sz w:val="32"/>
          <w:szCs w:val="32"/>
          <w:highlight w:val="none"/>
          <w:lang w:val="en-US" w:eastAsia="zh-CN" w:bidi="ar"/>
        </w:rPr>
      </w:pPr>
      <w:r>
        <w:rPr>
          <w:rFonts w:hint="eastAsia" w:ascii="仿宋" w:hAnsi="仿宋" w:eastAsia="仿宋" w:cs="仿宋"/>
          <w:b w:val="0"/>
          <w:bCs/>
          <w:color w:val="auto"/>
          <w:kern w:val="2"/>
          <w:sz w:val="32"/>
          <w:szCs w:val="32"/>
          <w:highlight w:val="none"/>
          <w:lang w:val="en-US" w:eastAsia="zh-CN" w:bidi="ar"/>
        </w:rPr>
        <w:t>《部门预算批复表》中《收支预算总表》的预算数总额为</w:t>
      </w:r>
      <w:r>
        <w:rPr>
          <w:rFonts w:hint="eastAsia" w:ascii="仿宋" w:hAnsi="仿宋" w:eastAsia="仿宋" w:cs="仿宋"/>
          <w:sz w:val="32"/>
          <w:szCs w:val="32"/>
          <w:highlight w:val="none"/>
          <w:lang w:val="en-US" w:eastAsia="zh-CN"/>
        </w:rPr>
        <w:t>11,548.80万元；</w:t>
      </w:r>
      <w:r>
        <w:rPr>
          <w:rFonts w:hint="eastAsia" w:ascii="仿宋" w:hAnsi="仿宋" w:eastAsia="仿宋" w:cs="仿宋"/>
          <w:b w:val="0"/>
          <w:bCs/>
          <w:color w:val="auto"/>
          <w:kern w:val="2"/>
          <w:sz w:val="32"/>
          <w:szCs w:val="32"/>
          <w:highlight w:val="none"/>
          <w:lang w:val="en-US" w:eastAsia="zh-CN" w:bidi="ar"/>
        </w:rPr>
        <w:t>《部门决算报表》中《收入支出决算总表》的决算数为</w:t>
      </w:r>
      <w:r>
        <w:rPr>
          <w:rStyle w:val="16"/>
          <w:rFonts w:hint="eastAsia" w:ascii="仿宋" w:hAnsi="仿宋" w:eastAsia="仿宋" w:cs="仿宋"/>
          <w:sz w:val="32"/>
          <w:szCs w:val="32"/>
          <w:highlight w:val="none"/>
          <w:lang w:val="en-US" w:eastAsia="zh-CN" w:bidi="ar"/>
        </w:rPr>
        <w:t>5,374</w:t>
      </w:r>
      <w:r>
        <w:rPr>
          <w:rStyle w:val="16"/>
          <w:rFonts w:hint="eastAsia" w:ascii="仿宋" w:hAnsi="仿宋" w:eastAsia="仿宋" w:cs="仿宋"/>
          <w:sz w:val="32"/>
          <w:szCs w:val="32"/>
          <w:highlight w:val="none"/>
          <w:lang w:eastAsia="zh-CN" w:bidi="ar"/>
        </w:rPr>
        <w:t>.</w:t>
      </w:r>
      <w:r>
        <w:rPr>
          <w:rStyle w:val="16"/>
          <w:rFonts w:hint="eastAsia" w:ascii="仿宋" w:hAnsi="仿宋" w:eastAsia="仿宋" w:cs="仿宋"/>
          <w:sz w:val="32"/>
          <w:szCs w:val="32"/>
          <w:highlight w:val="none"/>
          <w:lang w:val="en-US" w:eastAsia="zh-CN" w:bidi="ar"/>
        </w:rPr>
        <w:t>86万</w:t>
      </w:r>
      <w:r>
        <w:rPr>
          <w:rFonts w:hint="eastAsia" w:ascii="仿宋" w:hAnsi="仿宋" w:eastAsia="仿宋" w:cs="仿宋"/>
          <w:sz w:val="32"/>
          <w:szCs w:val="32"/>
          <w:highlight w:val="none"/>
          <w:lang w:val="en-US" w:eastAsia="zh-CN"/>
        </w:rPr>
        <w:t>元，</w:t>
      </w:r>
      <w:bookmarkStart w:id="23" w:name="OLE_LINK1"/>
      <w:r>
        <w:rPr>
          <w:rFonts w:hint="eastAsia" w:ascii="仿宋" w:hAnsi="仿宋" w:eastAsia="仿宋" w:cs="仿宋"/>
          <w:b w:val="0"/>
          <w:bCs/>
          <w:color w:val="auto"/>
          <w:kern w:val="2"/>
          <w:sz w:val="32"/>
          <w:szCs w:val="32"/>
          <w:highlight w:val="none"/>
          <w:lang w:val="en-US" w:eastAsia="zh-CN" w:bidi="ar"/>
        </w:rPr>
        <w:t>预算完成率为46.54%</w:t>
      </w:r>
      <w:bookmarkEnd w:id="23"/>
      <w:r>
        <w:rPr>
          <w:rFonts w:hint="eastAsia" w:ascii="仿宋" w:hAnsi="仿宋" w:eastAsia="仿宋" w:cs="仿宋"/>
          <w:b w:val="0"/>
          <w:bCs/>
          <w:color w:val="auto"/>
          <w:kern w:val="2"/>
          <w:sz w:val="32"/>
          <w:szCs w:val="32"/>
          <w:highlight w:val="none"/>
          <w:lang w:val="en-US" w:eastAsia="zh-CN" w:bidi="ar"/>
        </w:rPr>
        <w:t>。本项满分11分，扣11分，实际得分0分。</w:t>
      </w:r>
    </w:p>
    <w:p w14:paraId="7D07E466">
      <w:pPr>
        <w:pStyle w:val="9"/>
        <w:keepNext w:val="0"/>
        <w:keepLines w:val="0"/>
        <w:pageBreakBefore w:val="0"/>
        <w:widowControl/>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kern w:val="2"/>
          <w:sz w:val="32"/>
          <w:szCs w:val="32"/>
          <w:highlight w:val="none"/>
          <w:lang w:bidi="ar"/>
        </w:rPr>
      </w:pPr>
      <w:r>
        <w:rPr>
          <w:rFonts w:hint="eastAsia" w:ascii="仿宋" w:hAnsi="仿宋" w:eastAsia="仿宋" w:cs="仿宋"/>
          <w:kern w:val="2"/>
          <w:sz w:val="32"/>
          <w:szCs w:val="32"/>
          <w:highlight w:val="none"/>
          <w:lang w:bidi="ar"/>
        </w:rPr>
        <w:t>（2）预算调整率</w:t>
      </w:r>
    </w:p>
    <w:p w14:paraId="26DB101A">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b/>
          <w:bCs/>
          <w:kern w:val="2"/>
          <w:sz w:val="32"/>
          <w:szCs w:val="32"/>
          <w:highlight w:val="none"/>
        </w:rPr>
      </w:pPr>
      <w:r>
        <w:rPr>
          <w:rFonts w:hint="eastAsia" w:ascii="仿宋" w:hAnsi="仿宋" w:eastAsia="仿宋" w:cs="仿宋"/>
          <w:kern w:val="2"/>
          <w:sz w:val="32"/>
          <w:szCs w:val="32"/>
          <w:highlight w:val="none"/>
        </w:rPr>
        <w:t>《部门预算批复表》中《收支预算总表》的</w:t>
      </w:r>
      <w:r>
        <w:rPr>
          <w:rFonts w:hint="eastAsia" w:ascii="仿宋" w:hAnsi="仿宋" w:eastAsia="仿宋" w:cs="仿宋"/>
          <w:kern w:val="2"/>
          <w:sz w:val="32"/>
          <w:szCs w:val="32"/>
          <w:highlight w:val="none"/>
          <w:lang w:val="en-US" w:eastAsia="zh-CN"/>
        </w:rPr>
        <w:t>年初</w:t>
      </w:r>
      <w:r>
        <w:rPr>
          <w:rFonts w:hint="eastAsia" w:ascii="仿宋" w:hAnsi="仿宋" w:eastAsia="仿宋" w:cs="仿宋"/>
          <w:kern w:val="2"/>
          <w:sz w:val="32"/>
          <w:szCs w:val="32"/>
          <w:highlight w:val="none"/>
        </w:rPr>
        <w:t>算数</w:t>
      </w:r>
      <w:r>
        <w:rPr>
          <w:rFonts w:hint="eastAsia" w:ascii="仿宋" w:hAnsi="仿宋" w:eastAsia="仿宋" w:cs="仿宋"/>
          <w:sz w:val="32"/>
          <w:szCs w:val="32"/>
          <w:highlight w:val="none"/>
          <w:lang w:val="en-US" w:eastAsia="zh-CN"/>
        </w:rPr>
        <w:t>4,763.51万</w:t>
      </w:r>
      <w:r>
        <w:rPr>
          <w:rFonts w:hint="eastAsia" w:ascii="仿宋" w:hAnsi="仿宋" w:eastAsia="仿宋" w:cs="仿宋"/>
          <w:kern w:val="2"/>
          <w:sz w:val="32"/>
          <w:szCs w:val="32"/>
          <w:highlight w:val="none"/>
        </w:rPr>
        <w:t>元，综合调</w:t>
      </w:r>
      <w:r>
        <w:rPr>
          <w:rFonts w:hint="eastAsia" w:ascii="仿宋" w:hAnsi="仿宋" w:eastAsia="仿宋" w:cs="仿宋"/>
          <w:kern w:val="2"/>
          <w:sz w:val="32"/>
          <w:szCs w:val="32"/>
          <w:highlight w:val="none"/>
          <w:lang w:val="en-US" w:eastAsia="zh-CN"/>
        </w:rPr>
        <w:t>增</w:t>
      </w:r>
      <w:r>
        <w:rPr>
          <w:rFonts w:hint="eastAsia" w:ascii="仿宋" w:hAnsi="仿宋" w:eastAsia="仿宋" w:cs="仿宋"/>
          <w:kern w:val="2"/>
          <w:sz w:val="32"/>
          <w:szCs w:val="32"/>
          <w:highlight w:val="none"/>
        </w:rPr>
        <w:t>预算指标金额为</w:t>
      </w:r>
      <w:r>
        <w:rPr>
          <w:rFonts w:hint="eastAsia" w:ascii="仿宋" w:hAnsi="仿宋" w:eastAsia="仿宋" w:cs="仿宋"/>
          <w:sz w:val="32"/>
          <w:szCs w:val="32"/>
          <w:highlight w:val="none"/>
          <w:lang w:val="en-US" w:eastAsia="zh-CN"/>
        </w:rPr>
        <w:t>6,785.29万</w:t>
      </w:r>
      <w:r>
        <w:rPr>
          <w:rFonts w:hint="eastAsia" w:ascii="仿宋" w:hAnsi="仿宋" w:eastAsia="仿宋" w:cs="仿宋"/>
          <w:kern w:val="2"/>
          <w:sz w:val="32"/>
          <w:szCs w:val="32"/>
          <w:highlight w:val="none"/>
          <w:lang w:val="en-US" w:eastAsia="zh-CN"/>
        </w:rPr>
        <w:t>元</w:t>
      </w:r>
      <w:r>
        <w:rPr>
          <w:rFonts w:hint="eastAsia" w:ascii="仿宋" w:hAnsi="仿宋" w:eastAsia="仿宋" w:cs="仿宋"/>
          <w:kern w:val="2"/>
          <w:sz w:val="32"/>
          <w:szCs w:val="32"/>
          <w:highlight w:val="none"/>
        </w:rPr>
        <w:t>，调整后全年预算金额为</w:t>
      </w:r>
      <w:r>
        <w:rPr>
          <w:rFonts w:hint="eastAsia" w:ascii="仿宋" w:hAnsi="仿宋" w:eastAsia="仿宋" w:cs="仿宋"/>
          <w:sz w:val="32"/>
          <w:szCs w:val="32"/>
          <w:highlight w:val="none"/>
          <w:lang w:val="en-US" w:eastAsia="zh-CN"/>
        </w:rPr>
        <w:t>11,548</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80万元。预算调整率为58.75%，本项满分2分，扣2分，实际得分0分。</w:t>
      </w:r>
    </w:p>
    <w:p w14:paraId="536E1A45">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kern w:val="2"/>
          <w:sz w:val="32"/>
          <w:szCs w:val="32"/>
          <w:highlight w:val="none"/>
          <w:lang w:bidi="ar"/>
        </w:rPr>
      </w:pPr>
      <w:r>
        <w:rPr>
          <w:rFonts w:hint="eastAsia" w:ascii="仿宋" w:hAnsi="仿宋" w:eastAsia="仿宋" w:cs="仿宋"/>
          <w:kern w:val="2"/>
          <w:sz w:val="32"/>
          <w:szCs w:val="32"/>
          <w:highlight w:val="none"/>
          <w:lang w:bidi="ar"/>
        </w:rPr>
        <w:t>（</w:t>
      </w:r>
      <w:r>
        <w:rPr>
          <w:rFonts w:hint="eastAsia" w:ascii="仿宋" w:hAnsi="仿宋" w:eastAsia="仿宋" w:cs="仿宋"/>
          <w:kern w:val="2"/>
          <w:sz w:val="32"/>
          <w:szCs w:val="32"/>
          <w:highlight w:val="none"/>
          <w:lang w:val="en-US" w:eastAsia="zh-CN" w:bidi="ar"/>
        </w:rPr>
        <w:t>3</w:t>
      </w:r>
      <w:r>
        <w:rPr>
          <w:rFonts w:hint="eastAsia" w:ascii="仿宋" w:hAnsi="仿宋" w:eastAsia="仿宋" w:cs="仿宋"/>
          <w:kern w:val="2"/>
          <w:sz w:val="32"/>
          <w:szCs w:val="32"/>
          <w:highlight w:val="none"/>
          <w:lang w:bidi="ar"/>
        </w:rPr>
        <w:t>）结转结余率</w:t>
      </w:r>
    </w:p>
    <w:p w14:paraId="76FFFCBD">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b/>
          <w:bCs/>
          <w:kern w:val="2"/>
          <w:sz w:val="32"/>
          <w:szCs w:val="32"/>
          <w:highlight w:val="none"/>
          <w:lang w:eastAsia="zh-CN"/>
        </w:rPr>
      </w:pPr>
      <w:r>
        <w:rPr>
          <w:rFonts w:hint="eastAsia" w:ascii="仿宋" w:hAnsi="仿宋" w:eastAsia="仿宋" w:cs="仿宋"/>
          <w:b w:val="0"/>
          <w:bCs w:val="0"/>
          <w:i w:val="0"/>
          <w:iCs w:val="0"/>
          <w:caps w:val="0"/>
          <w:color w:val="000000"/>
          <w:spacing w:val="0"/>
          <w:kern w:val="0"/>
          <w:sz w:val="32"/>
          <w:szCs w:val="32"/>
          <w:lang w:val="en-US" w:eastAsia="zh-CN"/>
        </w:rPr>
        <w:t>市消防支队</w:t>
      </w:r>
      <w:r>
        <w:rPr>
          <w:rFonts w:hint="eastAsia" w:ascii="仿宋" w:hAnsi="仿宋" w:eastAsia="仿宋" w:cs="仿宋"/>
          <w:kern w:val="2"/>
          <w:sz w:val="32"/>
          <w:szCs w:val="32"/>
          <w:highlight w:val="none"/>
          <w:lang w:val="en-US" w:eastAsia="zh-CN"/>
        </w:rPr>
        <w:t>2023年</w:t>
      </w:r>
      <w:r>
        <w:rPr>
          <w:rFonts w:hint="eastAsia" w:ascii="仿宋" w:hAnsi="仿宋" w:eastAsia="仿宋" w:cs="仿宋"/>
          <w:b w:val="0"/>
          <w:bCs/>
          <w:color w:val="auto"/>
          <w:kern w:val="2"/>
          <w:sz w:val="32"/>
          <w:szCs w:val="32"/>
          <w:highlight w:val="none"/>
          <w:lang w:val="en-US" w:eastAsia="zh-CN" w:bidi="ar"/>
        </w:rPr>
        <w:t>结转结余数为6,173.94万元，</w:t>
      </w:r>
      <w:bookmarkStart w:id="24" w:name="OLE_LINK2"/>
      <w:r>
        <w:rPr>
          <w:rFonts w:hint="eastAsia" w:ascii="仿宋" w:hAnsi="仿宋" w:eastAsia="仿宋" w:cs="仿宋"/>
          <w:b w:val="0"/>
          <w:bCs/>
          <w:color w:val="auto"/>
          <w:kern w:val="2"/>
          <w:sz w:val="32"/>
          <w:szCs w:val="32"/>
          <w:highlight w:val="none"/>
          <w:lang w:val="en-US" w:eastAsia="zh-CN" w:bidi="ar"/>
        </w:rPr>
        <w:t>结转结余率53.46%</w:t>
      </w:r>
      <w:bookmarkEnd w:id="24"/>
      <w:r>
        <w:rPr>
          <w:rFonts w:hint="eastAsia" w:ascii="仿宋" w:hAnsi="仿宋" w:eastAsia="仿宋" w:cs="仿宋"/>
          <w:b w:val="0"/>
          <w:bCs/>
          <w:color w:val="auto"/>
          <w:kern w:val="2"/>
          <w:sz w:val="32"/>
          <w:szCs w:val="32"/>
          <w:highlight w:val="none"/>
          <w:lang w:val="en-US" w:eastAsia="zh-CN" w:bidi="ar"/>
        </w:rPr>
        <w:t>。本项满分6分，扣6分，实际得分0分。</w:t>
      </w:r>
    </w:p>
    <w:p w14:paraId="681CDE9A">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left="420" w:leftChars="200"/>
        <w:textAlignment w:val="auto"/>
        <w:rPr>
          <w:rFonts w:hint="eastAsia" w:ascii="仿宋" w:hAnsi="仿宋" w:eastAsia="仿宋" w:cs="仿宋"/>
          <w:kern w:val="2"/>
          <w:sz w:val="32"/>
          <w:szCs w:val="32"/>
          <w:highlight w:val="none"/>
          <w:lang w:bidi="ar"/>
        </w:rPr>
      </w:pPr>
      <w:r>
        <w:rPr>
          <w:rFonts w:hint="eastAsia" w:ascii="仿宋" w:hAnsi="仿宋" w:eastAsia="仿宋" w:cs="仿宋"/>
          <w:kern w:val="2"/>
          <w:sz w:val="32"/>
          <w:szCs w:val="32"/>
          <w:highlight w:val="none"/>
          <w:lang w:bidi="ar"/>
        </w:rPr>
        <w:t>（</w:t>
      </w:r>
      <w:r>
        <w:rPr>
          <w:rFonts w:hint="eastAsia" w:ascii="仿宋" w:hAnsi="仿宋" w:eastAsia="仿宋" w:cs="仿宋"/>
          <w:kern w:val="2"/>
          <w:sz w:val="32"/>
          <w:szCs w:val="32"/>
          <w:highlight w:val="none"/>
          <w:lang w:val="en-US" w:eastAsia="zh-CN" w:bidi="ar"/>
        </w:rPr>
        <w:t>4</w:t>
      </w:r>
      <w:r>
        <w:rPr>
          <w:rFonts w:hint="eastAsia" w:ascii="仿宋" w:hAnsi="仿宋" w:eastAsia="仿宋" w:cs="仿宋"/>
          <w:kern w:val="2"/>
          <w:sz w:val="32"/>
          <w:szCs w:val="32"/>
          <w:highlight w:val="none"/>
          <w:lang w:bidi="ar"/>
        </w:rPr>
        <w:t>）</w:t>
      </w:r>
      <w:r>
        <w:rPr>
          <w:rFonts w:hint="eastAsia" w:ascii="仿宋" w:hAnsi="仿宋" w:eastAsia="仿宋" w:cs="仿宋"/>
          <w:kern w:val="2"/>
          <w:sz w:val="32"/>
          <w:szCs w:val="32"/>
          <w:highlight w:val="none"/>
          <w:lang w:val="en-US" w:eastAsia="zh-CN" w:bidi="ar"/>
        </w:rPr>
        <w:t>结</w:t>
      </w:r>
      <w:r>
        <w:rPr>
          <w:rFonts w:hint="eastAsia" w:ascii="仿宋" w:hAnsi="仿宋" w:eastAsia="仿宋" w:cs="仿宋"/>
          <w:kern w:val="2"/>
          <w:sz w:val="32"/>
          <w:szCs w:val="32"/>
          <w:highlight w:val="none"/>
          <w:lang w:bidi="ar"/>
        </w:rPr>
        <w:t>转结余变动率</w:t>
      </w:r>
    </w:p>
    <w:p w14:paraId="505FD09D">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kern w:val="2"/>
          <w:sz w:val="32"/>
          <w:szCs w:val="32"/>
          <w:highlight w:val="none"/>
        </w:rPr>
      </w:pPr>
      <w:r>
        <w:rPr>
          <w:rFonts w:hint="eastAsia" w:ascii="仿宋" w:hAnsi="仿宋" w:eastAsia="仿宋" w:cs="仿宋"/>
          <w:b w:val="0"/>
          <w:bCs w:val="0"/>
          <w:i w:val="0"/>
          <w:iCs w:val="0"/>
          <w:caps w:val="0"/>
          <w:color w:val="000000"/>
          <w:spacing w:val="0"/>
          <w:kern w:val="0"/>
          <w:sz w:val="32"/>
          <w:szCs w:val="32"/>
          <w:lang w:val="en-US" w:eastAsia="zh-CN"/>
        </w:rPr>
        <w:t>市消防支队</w:t>
      </w:r>
      <w:r>
        <w:rPr>
          <w:rFonts w:hint="eastAsia" w:ascii="仿宋" w:hAnsi="仿宋" w:eastAsia="仿宋" w:cs="仿宋"/>
          <w:kern w:val="2"/>
          <w:sz w:val="32"/>
          <w:szCs w:val="32"/>
          <w:highlight w:val="none"/>
          <w:lang w:val="en-US" w:eastAsia="zh-CN"/>
        </w:rPr>
        <w:t>2023年</w:t>
      </w:r>
      <w:r>
        <w:rPr>
          <w:rFonts w:hint="eastAsia" w:ascii="仿宋" w:hAnsi="仿宋" w:eastAsia="仿宋" w:cs="仿宋"/>
          <w:b w:val="0"/>
          <w:bCs/>
          <w:color w:val="auto"/>
          <w:kern w:val="2"/>
          <w:sz w:val="32"/>
          <w:szCs w:val="32"/>
          <w:highlight w:val="none"/>
          <w:lang w:val="en-US" w:eastAsia="zh-CN" w:bidi="ar"/>
        </w:rPr>
        <w:t>结转结余数为6,173.94万元，2022年结转结余数为94.40万元，结转结余变动率为6,440.19%。本项满分1分，扣1分，实际得分0分。</w:t>
      </w:r>
    </w:p>
    <w:p w14:paraId="19341739">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left="420" w:leftChars="200"/>
        <w:textAlignment w:val="auto"/>
        <w:rPr>
          <w:rFonts w:hint="eastAsia" w:ascii="仿宋" w:hAnsi="仿宋" w:eastAsia="仿宋" w:cs="仿宋"/>
          <w:kern w:val="2"/>
          <w:sz w:val="32"/>
          <w:szCs w:val="32"/>
          <w:highlight w:val="none"/>
          <w:lang w:bidi="ar"/>
        </w:rPr>
      </w:pPr>
      <w:r>
        <w:rPr>
          <w:rFonts w:hint="eastAsia" w:ascii="仿宋" w:hAnsi="仿宋" w:eastAsia="仿宋" w:cs="仿宋"/>
          <w:kern w:val="2"/>
          <w:sz w:val="32"/>
          <w:szCs w:val="32"/>
          <w:highlight w:val="none"/>
          <w:lang w:bidi="ar"/>
        </w:rPr>
        <w:t>（</w:t>
      </w:r>
      <w:r>
        <w:rPr>
          <w:rFonts w:hint="eastAsia" w:ascii="仿宋" w:hAnsi="仿宋" w:eastAsia="仿宋" w:cs="仿宋"/>
          <w:kern w:val="2"/>
          <w:sz w:val="32"/>
          <w:szCs w:val="32"/>
          <w:highlight w:val="none"/>
          <w:lang w:val="en-US" w:eastAsia="zh-CN" w:bidi="ar"/>
        </w:rPr>
        <w:t>5</w:t>
      </w:r>
      <w:r>
        <w:rPr>
          <w:rFonts w:hint="eastAsia" w:ascii="仿宋" w:hAnsi="仿宋" w:eastAsia="仿宋" w:cs="仿宋"/>
          <w:kern w:val="2"/>
          <w:sz w:val="32"/>
          <w:szCs w:val="32"/>
          <w:highlight w:val="none"/>
          <w:lang w:bidi="ar"/>
        </w:rPr>
        <w:t>）公用经费控制率</w:t>
      </w:r>
    </w:p>
    <w:p w14:paraId="3B2CC9DD">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165" w:beforeLines="50" w:beforeAutospacing="0" w:after="165" w:afterLines="50" w:afterAutospacing="0" w:line="360" w:lineRule="auto"/>
        <w:ind w:leftChars="0" w:right="0" w:rightChars="0" w:firstLine="640" w:firstLineChars="200"/>
        <w:jc w:val="left"/>
        <w:textAlignment w:val="auto"/>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b w:val="0"/>
          <w:bCs w:val="0"/>
          <w:i w:val="0"/>
          <w:iCs w:val="0"/>
          <w:caps w:val="0"/>
          <w:color w:val="000000"/>
          <w:spacing w:val="0"/>
          <w:kern w:val="0"/>
          <w:sz w:val="32"/>
          <w:szCs w:val="32"/>
          <w:lang w:val="en-US" w:eastAsia="zh-CN"/>
        </w:rPr>
        <w:t>市消防支队</w:t>
      </w:r>
      <w:r>
        <w:rPr>
          <w:rFonts w:hint="eastAsia" w:ascii="仿宋" w:hAnsi="仿宋" w:eastAsia="仿宋" w:cs="仿宋"/>
          <w:color w:val="auto"/>
          <w:kern w:val="2"/>
          <w:sz w:val="32"/>
          <w:szCs w:val="32"/>
          <w:highlight w:val="none"/>
          <w:lang w:val="en-US" w:eastAsia="zh-CN" w:bidi="ar"/>
        </w:rPr>
        <w:t>2023年实际支出公用经费总额为0.00万元，2023年公用经费全年预算总额为0.00万元，公用经费控制率为0。本项满分2分，实际得分2分。</w:t>
      </w:r>
    </w:p>
    <w:p w14:paraId="1EC08C3E">
      <w:pPr>
        <w:pStyle w:val="9"/>
        <w:keepNext w:val="0"/>
        <w:keepLines w:val="0"/>
        <w:pageBreakBefore w:val="0"/>
        <w:kinsoku/>
        <w:wordWrap/>
        <w:overflowPunct/>
        <w:topLinePunct w:val="0"/>
        <w:autoSpaceDE/>
        <w:autoSpaceDN/>
        <w:bidi w:val="0"/>
        <w:adjustRightInd/>
        <w:snapToGrid/>
        <w:spacing w:before="165" w:beforeLines="50" w:beforeAutospacing="0" w:after="165" w:afterLines="50" w:afterAutospacing="0" w:line="360" w:lineRule="auto"/>
        <w:ind w:left="0" w:leftChars="0" w:firstLine="640" w:firstLineChars="200"/>
        <w:textAlignment w:val="auto"/>
        <w:rPr>
          <w:rFonts w:hint="eastAsia" w:ascii="仿宋" w:hAnsi="仿宋" w:eastAsia="仿宋" w:cs="仿宋"/>
          <w:kern w:val="2"/>
          <w:sz w:val="32"/>
          <w:szCs w:val="32"/>
          <w:highlight w:val="none"/>
          <w:lang w:bidi="ar"/>
        </w:rPr>
      </w:pPr>
      <w:r>
        <w:rPr>
          <w:rFonts w:hint="eastAsia" w:ascii="仿宋" w:hAnsi="仿宋" w:eastAsia="仿宋" w:cs="仿宋"/>
          <w:kern w:val="2"/>
          <w:sz w:val="32"/>
          <w:szCs w:val="32"/>
          <w:highlight w:val="none"/>
          <w:lang w:bidi="ar"/>
        </w:rPr>
        <w:t>（</w:t>
      </w: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2"/>
          <w:szCs w:val="32"/>
          <w:highlight w:val="none"/>
          <w:lang w:bidi="ar"/>
        </w:rPr>
        <w:t>）“三公经费 ”控制率</w:t>
      </w:r>
    </w:p>
    <w:p w14:paraId="30144844">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165" w:beforeLines="50" w:beforeAutospacing="0" w:after="165" w:afterLines="50" w:afterAutospacing="0" w:line="360" w:lineRule="auto"/>
        <w:ind w:right="0" w:rightChars="0" w:firstLine="640" w:firstLineChars="200"/>
        <w:jc w:val="left"/>
        <w:textAlignment w:val="auto"/>
        <w:rPr>
          <w:rFonts w:hint="eastAsia" w:ascii="仿宋" w:hAnsi="仿宋" w:eastAsia="仿宋" w:cs="仿宋"/>
          <w:color w:val="000000"/>
          <w:kern w:val="2"/>
          <w:sz w:val="32"/>
          <w:szCs w:val="32"/>
          <w:lang w:val="en-US" w:eastAsia="zh-CN" w:bidi="ar"/>
        </w:rPr>
      </w:pPr>
      <w:r>
        <w:rPr>
          <w:rFonts w:hint="eastAsia" w:ascii="仿宋" w:hAnsi="仿宋" w:eastAsia="仿宋" w:cs="仿宋"/>
          <w:b w:val="0"/>
          <w:bCs w:val="0"/>
          <w:i w:val="0"/>
          <w:iCs w:val="0"/>
          <w:caps w:val="0"/>
          <w:color w:val="000000"/>
          <w:spacing w:val="0"/>
          <w:kern w:val="0"/>
          <w:sz w:val="32"/>
          <w:szCs w:val="32"/>
          <w:lang w:val="en-US" w:eastAsia="zh-CN"/>
        </w:rPr>
        <w:t>市消防支队</w:t>
      </w:r>
      <w:r>
        <w:rPr>
          <w:rFonts w:hint="eastAsia" w:ascii="仿宋" w:hAnsi="仿宋" w:eastAsia="仿宋" w:cs="仿宋"/>
          <w:color w:val="000000"/>
          <w:kern w:val="2"/>
          <w:sz w:val="32"/>
          <w:szCs w:val="32"/>
          <w:lang w:val="en-US" w:eastAsia="zh-CN" w:bidi="ar"/>
        </w:rPr>
        <w:t>2023年“三公经费”实际支出数为0.00万元，2023年“三公经费”预算安排数为0.00万元，“三公经费”控制率为0。本项满分2分，实际得分2分。</w:t>
      </w:r>
    </w:p>
    <w:p w14:paraId="4EBE0418">
      <w:pPr>
        <w:pStyle w:val="9"/>
        <w:keepNext w:val="0"/>
        <w:keepLines w:val="0"/>
        <w:pageBreakBefore w:val="0"/>
        <w:kinsoku/>
        <w:wordWrap/>
        <w:overflowPunct/>
        <w:topLinePunct w:val="0"/>
        <w:autoSpaceDE/>
        <w:autoSpaceDN/>
        <w:bidi w:val="0"/>
        <w:adjustRightInd/>
        <w:snapToGrid/>
        <w:spacing w:before="165" w:beforeLines="50" w:beforeAutospacing="0" w:after="165" w:afterLines="50" w:afterAutospacing="0" w:line="360" w:lineRule="auto"/>
        <w:ind w:left="0" w:leftChars="0" w:firstLine="640" w:firstLineChars="200"/>
        <w:textAlignment w:val="auto"/>
        <w:rPr>
          <w:rFonts w:hint="eastAsia" w:ascii="仿宋" w:hAnsi="仿宋" w:eastAsia="仿宋" w:cs="仿宋"/>
          <w:kern w:val="2"/>
          <w:sz w:val="32"/>
          <w:szCs w:val="32"/>
          <w:highlight w:val="none"/>
          <w:lang w:bidi="ar"/>
        </w:rPr>
      </w:pPr>
      <w:r>
        <w:rPr>
          <w:rFonts w:hint="eastAsia" w:ascii="仿宋" w:hAnsi="仿宋" w:eastAsia="仿宋" w:cs="仿宋"/>
          <w:kern w:val="2"/>
          <w:sz w:val="32"/>
          <w:szCs w:val="32"/>
          <w:highlight w:val="none"/>
          <w:lang w:bidi="ar"/>
        </w:rPr>
        <w:t>（</w:t>
      </w:r>
      <w:r>
        <w:rPr>
          <w:rFonts w:hint="eastAsia" w:ascii="仿宋" w:hAnsi="仿宋" w:eastAsia="仿宋" w:cs="仿宋"/>
          <w:kern w:val="2"/>
          <w:sz w:val="32"/>
          <w:szCs w:val="32"/>
          <w:highlight w:val="none"/>
          <w:lang w:val="en-US" w:eastAsia="zh-CN" w:bidi="ar"/>
        </w:rPr>
        <w:t>7</w:t>
      </w:r>
      <w:r>
        <w:rPr>
          <w:rFonts w:hint="eastAsia" w:ascii="仿宋" w:hAnsi="仿宋" w:eastAsia="仿宋" w:cs="仿宋"/>
          <w:kern w:val="2"/>
          <w:sz w:val="32"/>
          <w:szCs w:val="32"/>
          <w:highlight w:val="none"/>
          <w:lang w:bidi="ar"/>
        </w:rPr>
        <w:t>）政府采购执行率</w:t>
      </w:r>
    </w:p>
    <w:p w14:paraId="34962F26">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kern w:val="2"/>
          <w:sz w:val="32"/>
          <w:szCs w:val="32"/>
          <w:highlight w:val="none"/>
        </w:rPr>
      </w:pPr>
      <w:r>
        <w:rPr>
          <w:rFonts w:hint="eastAsia" w:ascii="仿宋" w:hAnsi="仿宋" w:eastAsia="仿宋" w:cs="仿宋"/>
          <w:b w:val="0"/>
          <w:bCs w:val="0"/>
          <w:i w:val="0"/>
          <w:iCs w:val="0"/>
          <w:caps w:val="0"/>
          <w:color w:val="000000"/>
          <w:spacing w:val="0"/>
          <w:kern w:val="0"/>
          <w:sz w:val="32"/>
          <w:szCs w:val="32"/>
          <w:lang w:val="en-US" w:eastAsia="zh-CN"/>
        </w:rPr>
        <w:t>市消防支队</w:t>
      </w:r>
      <w:r>
        <w:rPr>
          <w:rFonts w:hint="eastAsia" w:ascii="仿宋" w:hAnsi="仿宋" w:eastAsia="仿宋" w:cs="仿宋"/>
          <w:kern w:val="2"/>
          <w:sz w:val="32"/>
          <w:szCs w:val="32"/>
          <w:highlight w:val="none"/>
        </w:rPr>
        <w:t>2023年</w:t>
      </w:r>
      <w:r>
        <w:rPr>
          <w:rFonts w:hint="eastAsia" w:ascii="仿宋" w:hAnsi="仿宋" w:eastAsia="仿宋" w:cs="仿宋"/>
          <w:color w:val="000000"/>
          <w:kern w:val="2"/>
          <w:sz w:val="32"/>
          <w:szCs w:val="32"/>
          <w:lang w:val="en-US" w:eastAsia="zh" w:bidi="ar-SA"/>
        </w:rPr>
        <w:t>度</w:t>
      </w:r>
      <w:r>
        <w:rPr>
          <w:rFonts w:hint="eastAsia" w:ascii="仿宋" w:hAnsi="仿宋" w:eastAsia="仿宋" w:cs="仿宋"/>
          <w:color w:val="000000"/>
          <w:kern w:val="2"/>
          <w:sz w:val="32"/>
          <w:szCs w:val="32"/>
          <w:lang w:val="en-US" w:eastAsia="zh-CN" w:bidi="ar-SA"/>
        </w:rPr>
        <w:t>政府采购项目预算金额为8,809.34万元，实际执行金额为</w:t>
      </w:r>
      <w:r>
        <w:rPr>
          <w:rFonts w:hint="eastAsia" w:ascii="仿宋" w:hAnsi="仿宋" w:eastAsia="仿宋" w:cs="仿宋"/>
          <w:b w:val="0"/>
          <w:bCs/>
          <w:color w:val="auto"/>
          <w:kern w:val="2"/>
          <w:sz w:val="32"/>
          <w:szCs w:val="32"/>
          <w:highlight w:val="none"/>
          <w:lang w:val="en-US" w:eastAsia="zh-CN" w:bidi="ar"/>
        </w:rPr>
        <w:t>2,712.00万元，政府采购执行率为30.79%。本项满分3分，扣3分，实际得分0分。</w:t>
      </w:r>
    </w:p>
    <w:p w14:paraId="60F3FF0B">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textAlignment w:val="auto"/>
        <w:rPr>
          <w:rFonts w:hint="eastAsia" w:ascii="仿宋" w:hAnsi="仿宋" w:eastAsia="仿宋" w:cs="仿宋"/>
          <w:b/>
          <w:bCs/>
          <w:kern w:val="2"/>
          <w:sz w:val="32"/>
          <w:szCs w:val="32"/>
          <w:highlight w:val="none"/>
        </w:rPr>
      </w:pPr>
      <w:r>
        <w:rPr>
          <w:rFonts w:hint="eastAsia" w:ascii="仿宋" w:hAnsi="仿宋" w:eastAsia="仿宋" w:cs="仿宋"/>
          <w:b/>
          <w:bCs/>
          <w:kern w:val="2"/>
          <w:sz w:val="32"/>
          <w:szCs w:val="32"/>
          <w:highlight w:val="none"/>
          <w:lang w:bidi="ar"/>
        </w:rPr>
        <w:t>2.预算管理情况</w:t>
      </w:r>
    </w:p>
    <w:p w14:paraId="3EF06264">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kern w:val="2"/>
          <w:sz w:val="32"/>
          <w:szCs w:val="32"/>
          <w:highlight w:val="none"/>
          <w:lang w:bidi="ar"/>
        </w:rPr>
      </w:pPr>
      <w:r>
        <w:rPr>
          <w:rFonts w:hint="eastAsia" w:ascii="仿宋" w:hAnsi="仿宋" w:eastAsia="仿宋" w:cs="仿宋"/>
          <w:kern w:val="2"/>
          <w:sz w:val="32"/>
          <w:szCs w:val="32"/>
          <w:highlight w:val="none"/>
          <w:lang w:bidi="ar"/>
        </w:rPr>
        <w:t>（1）管理制度健全性</w:t>
      </w:r>
    </w:p>
    <w:p w14:paraId="346A8F41">
      <w:pPr>
        <w:pStyle w:val="9"/>
        <w:keepNext w:val="0"/>
        <w:keepLines w:val="0"/>
        <w:pageBreakBefore w:val="0"/>
        <w:widowControl/>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left="0" w:right="0" w:rightChars="0" w:firstLine="640" w:firstLineChars="200"/>
        <w:jc w:val="left"/>
        <w:rPr>
          <w:rFonts w:hint="eastAsia" w:ascii="仿宋" w:hAnsi="仿宋" w:eastAsia="仿宋" w:cs="仿宋"/>
          <w:color w:val="000000"/>
          <w:kern w:val="2"/>
          <w:sz w:val="32"/>
          <w:szCs w:val="32"/>
          <w:lang w:val="en-US" w:eastAsia="zh-CN" w:bidi="ar"/>
        </w:rPr>
      </w:pPr>
      <w:r>
        <w:rPr>
          <w:rFonts w:hint="eastAsia" w:ascii="仿宋" w:hAnsi="仿宋" w:eastAsia="仿宋" w:cs="仿宋"/>
          <w:b w:val="0"/>
          <w:bCs w:val="0"/>
          <w:i w:val="0"/>
          <w:iCs w:val="0"/>
          <w:caps w:val="0"/>
          <w:color w:val="000000"/>
          <w:spacing w:val="0"/>
          <w:kern w:val="0"/>
          <w:sz w:val="32"/>
          <w:szCs w:val="32"/>
          <w:lang w:val="en-US" w:eastAsia="zh-CN"/>
        </w:rPr>
        <w:t>市消防支队</w:t>
      </w:r>
      <w:r>
        <w:rPr>
          <w:rFonts w:hint="eastAsia" w:ascii="仿宋" w:hAnsi="仿宋" w:eastAsia="仿宋" w:cs="仿宋"/>
          <w:kern w:val="2"/>
          <w:sz w:val="32"/>
          <w:szCs w:val="32"/>
          <w:lang w:val="en-US" w:eastAsia="zh-CN" w:bidi="ar"/>
        </w:rPr>
        <w:t>制定了</w:t>
      </w:r>
      <w:r>
        <w:rPr>
          <w:rFonts w:hint="eastAsia" w:ascii="仿宋" w:hAnsi="仿宋" w:eastAsia="仿宋" w:cs="仿宋"/>
          <w:color w:val="000000"/>
          <w:kern w:val="0"/>
          <w:sz w:val="32"/>
          <w:szCs w:val="32"/>
          <w:lang w:val="en-US" w:eastAsia="zh-CN" w:bidi="ar"/>
        </w:rPr>
        <w:t>财务管理制度、业务层面内部控制制度、财务工作人员职责制度。建立了部门内控制度或措施，相关管理办法、制度、措施得到有效执行。</w:t>
      </w:r>
      <w:r>
        <w:rPr>
          <w:rFonts w:hint="eastAsia" w:ascii="仿宋" w:hAnsi="仿宋" w:eastAsia="仿宋" w:cs="仿宋"/>
          <w:color w:val="000000"/>
          <w:kern w:val="2"/>
          <w:sz w:val="32"/>
          <w:szCs w:val="32"/>
          <w:lang w:val="en-US" w:eastAsia="zh-CN" w:bidi="ar"/>
        </w:rPr>
        <w:t>本项满分3分，实际得分3分。</w:t>
      </w:r>
    </w:p>
    <w:p w14:paraId="0F34C96B">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（2）资金使用合规性</w:t>
      </w:r>
    </w:p>
    <w:p w14:paraId="36C36F75">
      <w:pPr>
        <w:pStyle w:val="9"/>
        <w:keepNext w:val="0"/>
        <w:keepLines w:val="0"/>
        <w:pageBreakBefore w:val="0"/>
        <w:widowControl/>
        <w:numPr>
          <w:ilvl w:val="0"/>
          <w:numId w:val="0"/>
        </w:numPr>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b w:val="0"/>
          <w:bCs w:val="0"/>
          <w:i w:val="0"/>
          <w:iCs w:val="0"/>
          <w:caps w:val="0"/>
          <w:color w:val="000000"/>
          <w:spacing w:val="0"/>
          <w:kern w:val="0"/>
          <w:sz w:val="32"/>
          <w:szCs w:val="32"/>
          <w:lang w:val="en-US" w:eastAsia="zh-CN"/>
        </w:rPr>
        <w:t>市消防支队</w:t>
      </w:r>
      <w:r>
        <w:rPr>
          <w:rFonts w:hint="eastAsia" w:ascii="仿宋" w:hAnsi="仿宋" w:eastAsia="仿宋" w:cs="仿宋"/>
          <w:color w:val="000000"/>
          <w:kern w:val="0"/>
          <w:sz w:val="32"/>
          <w:szCs w:val="32"/>
          <w:lang w:val="en-US" w:eastAsia="zh-CN" w:bidi="ar"/>
        </w:rPr>
        <w:t>使用预算资金符合国家财经法规和财务管理制度规定以及有关专项资金管理办法的规定；资金拨付有完整的审批程序和手续；项目的重大开支经过评估论证，符合预算批复的用途，不存在截留、挤占、挪用、虚列支出等情况。</w:t>
      </w:r>
      <w:r>
        <w:rPr>
          <w:rFonts w:hint="eastAsia" w:ascii="仿宋" w:hAnsi="仿宋" w:eastAsia="仿宋" w:cs="仿宋"/>
          <w:color w:val="000000"/>
          <w:kern w:val="2"/>
          <w:sz w:val="32"/>
          <w:szCs w:val="32"/>
          <w:lang w:val="en-US" w:eastAsia="zh-CN" w:bidi="ar"/>
        </w:rPr>
        <w:t>本项满分5分，得5分。</w:t>
      </w:r>
    </w:p>
    <w:p w14:paraId="05BA7D75">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（3）预决算信息公开性</w:t>
      </w:r>
    </w:p>
    <w:p w14:paraId="659D899C">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财政部关于印发《地方预决算公开操作规程》 的通知（财预[2016]143 号）“地方各级财政部门和各部门建有门户网站的，应当在门户网站公开预决算，并永久保留，其中当年预决算应当公开在网站醒目位置：没有门户网站的，应当采取措施在公开媒体公开预决算.并积极推动门户网站建设”</w:t>
      </w:r>
      <w:r>
        <w:rPr>
          <w:rFonts w:hint="eastAsia" w:ascii="仿宋" w:hAnsi="仿宋" w:eastAsia="仿宋" w:cs="仿宋"/>
          <w:sz w:val="32"/>
          <w:szCs w:val="32"/>
          <w:highlight w:val="none"/>
          <w:lang w:eastAsia="zh-CN"/>
        </w:rPr>
        <w:t>。</w:t>
      </w:r>
      <w:r>
        <w:rPr>
          <w:rFonts w:hint="eastAsia" w:ascii="仿宋" w:hAnsi="仿宋" w:eastAsia="仿宋" w:cs="仿宋"/>
          <w:b w:val="0"/>
          <w:bCs w:val="0"/>
          <w:i w:val="0"/>
          <w:iCs w:val="0"/>
          <w:caps w:val="0"/>
          <w:color w:val="000000"/>
          <w:spacing w:val="0"/>
          <w:kern w:val="0"/>
          <w:sz w:val="32"/>
          <w:szCs w:val="32"/>
          <w:lang w:val="en-US" w:eastAsia="zh-CN"/>
        </w:rPr>
        <w:t>市消防支队</w:t>
      </w:r>
      <w:r>
        <w:rPr>
          <w:rFonts w:hint="eastAsia" w:ascii="仿宋" w:hAnsi="仿宋" w:eastAsia="仿宋" w:cs="仿宋"/>
          <w:sz w:val="32"/>
          <w:szCs w:val="32"/>
          <w:highlight w:val="none"/>
        </w:rPr>
        <w:t>按规定按时在政府公开信息网站上公开单位2023年预算情况，2023年决算尚未批复，故尚未公开。</w:t>
      </w:r>
      <w:r>
        <w:rPr>
          <w:rFonts w:hint="eastAsia" w:ascii="仿宋" w:hAnsi="仿宋" w:eastAsia="仿宋" w:cs="仿宋"/>
          <w:sz w:val="32"/>
          <w:szCs w:val="32"/>
          <w:highlight w:val="none"/>
          <w:lang w:val="en-US" w:eastAsia="zh-CN"/>
        </w:rPr>
        <w:t>本项满分2分</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实际得分</w:t>
      </w:r>
      <w:r>
        <w:rPr>
          <w:rFonts w:hint="eastAsia" w:ascii="仿宋" w:hAnsi="仿宋" w:eastAsia="仿宋" w:cs="仿宋"/>
          <w:sz w:val="32"/>
          <w:szCs w:val="32"/>
          <w:highlight w:val="none"/>
        </w:rPr>
        <w:t>2分。</w:t>
      </w:r>
    </w:p>
    <w:p w14:paraId="62674B22">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（4）基础信息完善性</w:t>
      </w:r>
    </w:p>
    <w:p w14:paraId="6222203F">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经抽查</w:t>
      </w:r>
      <w:r>
        <w:rPr>
          <w:rFonts w:hint="eastAsia" w:ascii="仿宋" w:hAnsi="仿宋" w:eastAsia="仿宋" w:cs="仿宋"/>
          <w:sz w:val="32"/>
          <w:szCs w:val="32"/>
          <w:highlight w:val="none"/>
          <w:lang w:val="en-US" w:eastAsia="zh-CN"/>
        </w:rPr>
        <w:t>财务凭证，业务附件真实完整</w:t>
      </w:r>
      <w:r>
        <w:rPr>
          <w:rFonts w:hint="eastAsia" w:ascii="仿宋" w:hAnsi="仿宋" w:eastAsia="仿宋" w:cs="仿宋"/>
          <w:sz w:val="32"/>
          <w:szCs w:val="32"/>
          <w:highlight w:val="none"/>
        </w:rPr>
        <w:t>，基础数据信息和会计信息资料真实</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完整、准确</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本项满分2分</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实际得分</w:t>
      </w:r>
      <w:r>
        <w:rPr>
          <w:rFonts w:hint="eastAsia" w:ascii="仿宋" w:hAnsi="仿宋" w:eastAsia="仿宋" w:cs="仿宋"/>
          <w:sz w:val="32"/>
          <w:szCs w:val="32"/>
          <w:highlight w:val="none"/>
        </w:rPr>
        <w:t>2分。</w:t>
      </w:r>
    </w:p>
    <w:p w14:paraId="6CA4AEF5">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3.资产管理情况</w:t>
      </w:r>
    </w:p>
    <w:p w14:paraId="31F30FB9">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（1）资产管理制度健全性</w:t>
      </w:r>
    </w:p>
    <w:p w14:paraId="173CB042">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b w:val="0"/>
          <w:bCs w:val="0"/>
          <w:i w:val="0"/>
          <w:iCs w:val="0"/>
          <w:caps w:val="0"/>
          <w:color w:val="000000"/>
          <w:spacing w:val="0"/>
          <w:kern w:val="0"/>
          <w:sz w:val="32"/>
          <w:szCs w:val="32"/>
          <w:lang w:val="en-US" w:eastAsia="zh-CN"/>
        </w:rPr>
        <w:t>市消防支队</w:t>
      </w:r>
      <w:r>
        <w:rPr>
          <w:rFonts w:hint="eastAsia" w:ascii="仿宋" w:hAnsi="仿宋" w:eastAsia="仿宋" w:cs="仿宋"/>
          <w:color w:val="000000"/>
          <w:kern w:val="0"/>
          <w:sz w:val="32"/>
          <w:szCs w:val="32"/>
          <w:lang w:val="en-US" w:eastAsia="zh-CN" w:bidi="ar"/>
        </w:rPr>
        <w:t>制定了固定资产管理制度、财务管理制度等管理办法和制度。相关资产管理制度合法、合规、完整，相关资产管理制度得到有效执行。</w:t>
      </w:r>
      <w:r>
        <w:rPr>
          <w:rFonts w:hint="eastAsia" w:ascii="仿宋" w:hAnsi="仿宋" w:eastAsia="仿宋" w:cs="仿宋"/>
          <w:color w:val="000000"/>
          <w:kern w:val="2"/>
          <w:sz w:val="32"/>
          <w:szCs w:val="32"/>
          <w:lang w:val="en-US" w:eastAsia="zh-CN" w:bidi="ar"/>
        </w:rPr>
        <w:t>本项满分3分，</w:t>
      </w:r>
      <w:r>
        <w:rPr>
          <w:rFonts w:hint="eastAsia" w:ascii="仿宋" w:hAnsi="仿宋" w:eastAsia="仿宋" w:cs="仿宋"/>
          <w:sz w:val="32"/>
          <w:szCs w:val="32"/>
          <w:highlight w:val="none"/>
          <w:lang w:val="en-US" w:eastAsia="zh-CN"/>
        </w:rPr>
        <w:t>实际</w:t>
      </w:r>
      <w:r>
        <w:rPr>
          <w:rFonts w:hint="eastAsia" w:ascii="仿宋" w:hAnsi="仿宋" w:eastAsia="仿宋" w:cs="仿宋"/>
          <w:sz w:val="32"/>
          <w:szCs w:val="32"/>
          <w:highlight w:val="none"/>
        </w:rPr>
        <w:t>得</w:t>
      </w:r>
      <w:r>
        <w:rPr>
          <w:rFonts w:hint="eastAsia" w:ascii="仿宋" w:hAnsi="仿宋" w:eastAsia="仿宋" w:cs="仿宋"/>
          <w:sz w:val="32"/>
          <w:szCs w:val="32"/>
          <w:highlight w:val="none"/>
          <w:lang w:val="en-US" w:eastAsia="zh-CN"/>
        </w:rPr>
        <w:t>分3</w:t>
      </w:r>
      <w:r>
        <w:rPr>
          <w:rFonts w:hint="eastAsia" w:ascii="仿宋" w:hAnsi="仿宋" w:eastAsia="仿宋" w:cs="仿宋"/>
          <w:sz w:val="32"/>
          <w:szCs w:val="32"/>
          <w:highlight w:val="none"/>
        </w:rPr>
        <w:t>分。</w:t>
      </w:r>
    </w:p>
    <w:p w14:paraId="5AA46CD8">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（2）资产管理安全性</w:t>
      </w:r>
    </w:p>
    <w:p w14:paraId="1F4CE185">
      <w:pPr>
        <w:pStyle w:val="9"/>
        <w:keepNext w:val="0"/>
        <w:keepLines w:val="0"/>
        <w:pageBreakBefore w:val="0"/>
        <w:widowControl/>
        <w:numPr>
          <w:ilvl w:val="0"/>
          <w:numId w:val="0"/>
        </w:numPr>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textAlignment w:val="auto"/>
        <w:rPr>
          <w:rFonts w:hint="eastAsia" w:ascii="仿宋" w:hAnsi="仿宋" w:eastAsia="仿宋" w:cs="仿宋"/>
          <w:b w:val="0"/>
          <w:bCs/>
          <w:color w:val="auto"/>
          <w:kern w:val="0"/>
          <w:sz w:val="32"/>
          <w:szCs w:val="32"/>
          <w:highlight w:val="none"/>
          <w:lang w:val="en-US" w:eastAsia="zh-CN" w:bidi="ar"/>
        </w:rPr>
      </w:pPr>
      <w:r>
        <w:rPr>
          <w:rFonts w:hint="eastAsia" w:ascii="仿宋" w:hAnsi="仿宋" w:eastAsia="仿宋" w:cs="仿宋"/>
          <w:b w:val="0"/>
          <w:bCs w:val="0"/>
          <w:i w:val="0"/>
          <w:iCs w:val="0"/>
          <w:caps w:val="0"/>
          <w:color w:val="000000"/>
          <w:spacing w:val="0"/>
          <w:kern w:val="0"/>
          <w:sz w:val="32"/>
          <w:szCs w:val="32"/>
          <w:lang w:val="en-US" w:eastAsia="zh-CN"/>
        </w:rPr>
        <w:t>市消防支队</w:t>
      </w:r>
      <w:r>
        <w:rPr>
          <w:rFonts w:hint="eastAsia" w:ascii="仿宋" w:hAnsi="仿宋" w:eastAsia="仿宋" w:cs="仿宋"/>
          <w:b w:val="0"/>
          <w:bCs/>
          <w:color w:val="auto"/>
          <w:kern w:val="0"/>
          <w:sz w:val="32"/>
          <w:szCs w:val="32"/>
          <w:highlight w:val="none"/>
          <w:lang w:val="en-US" w:eastAsia="zh-CN" w:bidi="ar"/>
        </w:rPr>
        <w:t>资产配置合理，不存在超标准配置资产的情况；资产处置规范，不存在不按要求进行报批或资产不公开处置行为；资产账务管理合规，帐实相符；资产使用规范，不存在未经批准擅自出租、出借资产行为。本项满分5分，实际得分5分。</w:t>
      </w:r>
    </w:p>
    <w:p w14:paraId="6F134F35">
      <w:pPr>
        <w:pStyle w:val="9"/>
        <w:keepNext w:val="0"/>
        <w:keepLines w:val="0"/>
        <w:pageBreakBefore w:val="0"/>
        <w:widowControl/>
        <w:numPr>
          <w:ilvl w:val="0"/>
          <w:numId w:val="0"/>
        </w:numPr>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（3）固定资产利用率</w:t>
      </w:r>
    </w:p>
    <w:p w14:paraId="161C1F3D">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b w:val="0"/>
          <w:bCs w:val="0"/>
          <w:i w:val="0"/>
          <w:iCs w:val="0"/>
          <w:caps w:val="0"/>
          <w:color w:val="000000"/>
          <w:spacing w:val="0"/>
          <w:kern w:val="0"/>
          <w:sz w:val="32"/>
          <w:szCs w:val="32"/>
          <w:lang w:val="en-US" w:eastAsia="zh-CN"/>
        </w:rPr>
        <w:t>市消防支队</w:t>
      </w:r>
      <w:r>
        <w:rPr>
          <w:rFonts w:hint="eastAsia" w:ascii="仿宋" w:hAnsi="仿宋" w:eastAsia="仿宋" w:cs="仿宋"/>
          <w:sz w:val="32"/>
          <w:szCs w:val="32"/>
          <w:highlight w:val="none"/>
        </w:rPr>
        <w:t>固定资产总额为</w:t>
      </w:r>
      <w:r>
        <w:rPr>
          <w:rFonts w:hint="eastAsia" w:ascii="仿宋" w:hAnsi="仿宋" w:eastAsia="仿宋" w:cs="仿宋"/>
          <w:sz w:val="32"/>
          <w:szCs w:val="32"/>
          <w:highlight w:val="none"/>
          <w:lang w:val="en-US" w:eastAsia="zh-CN"/>
        </w:rPr>
        <w:t>13,858</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94万</w:t>
      </w:r>
      <w:r>
        <w:rPr>
          <w:rFonts w:hint="eastAsia" w:ascii="仿宋" w:hAnsi="仿宋" w:eastAsia="仿宋" w:cs="仿宋"/>
          <w:sz w:val="32"/>
          <w:szCs w:val="32"/>
          <w:highlight w:val="none"/>
        </w:rPr>
        <w:t>元，实际在用固定资产总额</w:t>
      </w:r>
      <w:r>
        <w:rPr>
          <w:rFonts w:hint="eastAsia" w:ascii="仿宋" w:hAnsi="仿宋" w:eastAsia="仿宋" w:cs="仿宋"/>
          <w:sz w:val="32"/>
          <w:szCs w:val="32"/>
          <w:highlight w:val="none"/>
          <w:lang w:val="en-US" w:eastAsia="zh-CN"/>
        </w:rPr>
        <w:t>13,858</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94万</w:t>
      </w:r>
      <w:r>
        <w:rPr>
          <w:rFonts w:hint="eastAsia" w:ascii="仿宋" w:hAnsi="仿宋" w:eastAsia="仿宋" w:cs="仿宋"/>
          <w:sz w:val="32"/>
          <w:szCs w:val="32"/>
          <w:highlight w:val="none"/>
        </w:rPr>
        <w:t>元，固定资产利用率为</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本项满分2分</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实际得分</w:t>
      </w:r>
      <w:r>
        <w:rPr>
          <w:rFonts w:hint="eastAsia" w:ascii="仿宋" w:hAnsi="仿宋" w:eastAsia="仿宋" w:cs="仿宋"/>
          <w:sz w:val="32"/>
          <w:szCs w:val="32"/>
          <w:highlight w:val="none"/>
        </w:rPr>
        <w:t>得2分。</w:t>
      </w:r>
    </w:p>
    <w:p w14:paraId="073A2C06">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outlineLvl w:val="1"/>
        <w:rPr>
          <w:rFonts w:hint="eastAsia" w:ascii="仿宋" w:hAnsi="仿宋" w:eastAsia="仿宋" w:cs="仿宋"/>
          <w:b/>
          <w:bCs/>
          <w:sz w:val="32"/>
          <w:szCs w:val="32"/>
          <w:highlight w:val="none"/>
        </w:rPr>
      </w:pPr>
      <w:bookmarkStart w:id="25" w:name="_Toc32385"/>
      <w:r>
        <w:rPr>
          <w:rFonts w:hint="eastAsia" w:ascii="仿宋" w:hAnsi="仿宋" w:eastAsia="仿宋" w:cs="仿宋"/>
          <w:b/>
          <w:bCs/>
          <w:sz w:val="32"/>
          <w:szCs w:val="32"/>
          <w:highlight w:val="none"/>
          <w:lang w:bidi="ar"/>
        </w:rPr>
        <w:t>（三）项目产出情况</w:t>
      </w:r>
      <w:bookmarkEnd w:id="25"/>
    </w:p>
    <w:p w14:paraId="52AE5ACE">
      <w:pPr>
        <w:pStyle w:val="4"/>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从部门整体产出情况的职责履行方面情况进行评价，满分为16分，总得分</w:t>
      </w:r>
      <w:r>
        <w:rPr>
          <w:rFonts w:hint="eastAsia" w:ascii="仿宋" w:hAnsi="仿宋" w:eastAsia="仿宋" w:cs="仿宋"/>
          <w:sz w:val="32"/>
          <w:szCs w:val="32"/>
          <w:highlight w:val="none"/>
          <w:lang w:val="en-US" w:eastAsia="zh-CN"/>
        </w:rPr>
        <w:t>10.32</w:t>
      </w:r>
      <w:r>
        <w:rPr>
          <w:rFonts w:hint="eastAsia" w:ascii="仿宋" w:hAnsi="仿宋" w:eastAsia="仿宋" w:cs="仿宋"/>
          <w:sz w:val="32"/>
          <w:szCs w:val="32"/>
          <w:highlight w:val="none"/>
        </w:rPr>
        <w:t>分。</w:t>
      </w:r>
    </w:p>
    <w:p w14:paraId="6A5052D2">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center"/>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表4-3部门产出情况得分表</w:t>
      </w:r>
    </w:p>
    <w:tbl>
      <w:tblPr>
        <w:tblStyle w:val="10"/>
        <w:tblW w:w="8595" w:type="dxa"/>
        <w:tblInd w:w="96" w:type="dxa"/>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
      <w:tblGrid>
        <w:gridCol w:w="1246"/>
        <w:gridCol w:w="704"/>
        <w:gridCol w:w="1743"/>
        <w:gridCol w:w="2833"/>
        <w:gridCol w:w="1122"/>
        <w:gridCol w:w="947"/>
      </w:tblGrid>
      <w:tr w14:paraId="245B8A6D">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tcBorders>
              <w:top w:val="single" w:color="auto" w:sz="8" w:space="0"/>
              <w:left w:val="nil"/>
              <w:bottom w:val="dotted" w:color="auto" w:sz="4" w:space="0"/>
              <w:right w:val="dotted" w:color="auto" w:sz="4" w:space="0"/>
            </w:tcBorders>
            <w:noWrap/>
            <w:vAlign w:val="center"/>
          </w:tcPr>
          <w:p w14:paraId="501B060D">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一级指标</w:t>
            </w:r>
          </w:p>
        </w:tc>
        <w:tc>
          <w:tcPr>
            <w:tcW w:w="704" w:type="dxa"/>
            <w:tcBorders>
              <w:top w:val="single" w:color="auto" w:sz="8" w:space="0"/>
              <w:left w:val="dotted" w:color="auto" w:sz="4" w:space="0"/>
              <w:bottom w:val="dotted" w:color="auto" w:sz="4" w:space="0"/>
              <w:right w:val="dotted" w:color="auto" w:sz="4" w:space="0"/>
            </w:tcBorders>
            <w:noWrap/>
            <w:vAlign w:val="center"/>
          </w:tcPr>
          <w:p w14:paraId="139F38C7">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分值</w:t>
            </w:r>
          </w:p>
        </w:tc>
        <w:tc>
          <w:tcPr>
            <w:tcW w:w="1743" w:type="dxa"/>
            <w:tcBorders>
              <w:top w:val="single" w:color="auto" w:sz="8" w:space="0"/>
              <w:left w:val="dotted" w:color="auto" w:sz="4" w:space="0"/>
              <w:bottom w:val="dotted" w:color="auto" w:sz="4" w:space="0"/>
              <w:right w:val="dotted" w:color="auto" w:sz="4" w:space="0"/>
            </w:tcBorders>
            <w:noWrap/>
            <w:vAlign w:val="center"/>
          </w:tcPr>
          <w:p w14:paraId="3AEF3A65">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二级指标</w:t>
            </w:r>
          </w:p>
        </w:tc>
        <w:tc>
          <w:tcPr>
            <w:tcW w:w="2833" w:type="dxa"/>
            <w:tcBorders>
              <w:top w:val="single" w:color="auto" w:sz="8" w:space="0"/>
              <w:left w:val="dotted" w:color="auto" w:sz="4" w:space="0"/>
              <w:bottom w:val="dotted" w:color="auto" w:sz="4" w:space="0"/>
              <w:right w:val="dotted" w:color="auto" w:sz="4" w:space="0"/>
            </w:tcBorders>
            <w:noWrap/>
            <w:vAlign w:val="center"/>
          </w:tcPr>
          <w:p w14:paraId="3C469CDD">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三级指标</w:t>
            </w:r>
          </w:p>
        </w:tc>
        <w:tc>
          <w:tcPr>
            <w:tcW w:w="1122" w:type="dxa"/>
            <w:tcBorders>
              <w:top w:val="single" w:color="auto" w:sz="8" w:space="0"/>
              <w:left w:val="dotted" w:color="auto" w:sz="4" w:space="0"/>
              <w:bottom w:val="dotted" w:color="auto" w:sz="4" w:space="0"/>
              <w:right w:val="dotted" w:color="auto" w:sz="4" w:space="0"/>
            </w:tcBorders>
            <w:noWrap/>
            <w:vAlign w:val="center"/>
          </w:tcPr>
          <w:p w14:paraId="55A63C3D">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分值</w:t>
            </w:r>
          </w:p>
        </w:tc>
        <w:tc>
          <w:tcPr>
            <w:tcW w:w="947" w:type="dxa"/>
            <w:tcBorders>
              <w:top w:val="single" w:color="auto" w:sz="8" w:space="0"/>
              <w:left w:val="dotted" w:color="auto" w:sz="4" w:space="0"/>
              <w:bottom w:val="dotted" w:color="auto" w:sz="4" w:space="0"/>
              <w:right w:val="nil"/>
            </w:tcBorders>
            <w:noWrap/>
            <w:vAlign w:val="center"/>
          </w:tcPr>
          <w:p w14:paraId="7A2A8782">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得分</w:t>
            </w:r>
          </w:p>
        </w:tc>
      </w:tr>
      <w:tr w14:paraId="3C624B1E">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restart"/>
            <w:tcBorders>
              <w:top w:val="dotted" w:color="auto" w:sz="4" w:space="0"/>
              <w:left w:val="nil"/>
              <w:bottom w:val="dotted" w:color="auto" w:sz="4" w:space="0"/>
              <w:right w:val="dotted" w:color="auto" w:sz="4" w:space="0"/>
            </w:tcBorders>
            <w:noWrap/>
            <w:vAlign w:val="center"/>
          </w:tcPr>
          <w:p w14:paraId="46B8E45C">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产出</w:t>
            </w:r>
          </w:p>
        </w:tc>
        <w:tc>
          <w:tcPr>
            <w:tcW w:w="704" w:type="dxa"/>
            <w:vMerge w:val="restart"/>
            <w:tcBorders>
              <w:top w:val="dotted" w:color="auto" w:sz="4" w:space="0"/>
              <w:left w:val="dotted" w:color="auto" w:sz="4" w:space="0"/>
              <w:bottom w:val="dotted" w:color="auto" w:sz="4" w:space="0"/>
              <w:right w:val="dotted" w:color="auto" w:sz="4" w:space="0"/>
            </w:tcBorders>
            <w:noWrap/>
            <w:vAlign w:val="center"/>
          </w:tcPr>
          <w:p w14:paraId="3382B190">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16</w:t>
            </w:r>
          </w:p>
        </w:tc>
        <w:tc>
          <w:tcPr>
            <w:tcW w:w="1743" w:type="dxa"/>
            <w:vMerge w:val="restart"/>
            <w:tcBorders>
              <w:top w:val="dotted" w:color="auto" w:sz="4" w:space="0"/>
              <w:left w:val="dotted" w:color="auto" w:sz="4" w:space="0"/>
              <w:bottom w:val="dotted" w:color="auto" w:sz="4" w:space="0"/>
              <w:right w:val="dotted" w:color="auto" w:sz="4" w:space="0"/>
            </w:tcBorders>
            <w:noWrap w:val="0"/>
            <w:vAlign w:val="center"/>
          </w:tcPr>
          <w:p w14:paraId="730EDE27">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职责履行</w:t>
            </w:r>
          </w:p>
          <w:p w14:paraId="239DF725">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p>
        </w:tc>
        <w:tc>
          <w:tcPr>
            <w:tcW w:w="2833" w:type="dxa"/>
            <w:tcBorders>
              <w:top w:val="dotted" w:color="auto" w:sz="4" w:space="0"/>
              <w:left w:val="dotted" w:color="auto" w:sz="4" w:space="0"/>
              <w:bottom w:val="dotted" w:color="auto" w:sz="4" w:space="0"/>
              <w:right w:val="dotted" w:color="auto" w:sz="4" w:space="0"/>
            </w:tcBorders>
            <w:noWrap w:val="0"/>
            <w:vAlign w:val="center"/>
          </w:tcPr>
          <w:p w14:paraId="5651257F">
            <w:pPr>
              <w:widowControl/>
              <w:autoSpaceDE w:val="0"/>
              <w:spacing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实际完成率</w:t>
            </w:r>
          </w:p>
        </w:tc>
        <w:tc>
          <w:tcPr>
            <w:tcW w:w="1122" w:type="dxa"/>
            <w:tcBorders>
              <w:top w:val="dotted" w:color="auto" w:sz="4" w:space="0"/>
              <w:left w:val="dotted" w:color="auto" w:sz="4" w:space="0"/>
              <w:bottom w:val="dotted" w:color="auto" w:sz="4" w:space="0"/>
              <w:right w:val="dotted" w:color="auto" w:sz="4" w:space="0"/>
            </w:tcBorders>
            <w:noWrap w:val="0"/>
            <w:vAlign w:val="center"/>
          </w:tcPr>
          <w:p w14:paraId="557F450F">
            <w:pPr>
              <w:widowControl/>
              <w:autoSpaceDE w:val="0"/>
              <w:spacing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4</w:t>
            </w:r>
          </w:p>
        </w:tc>
        <w:tc>
          <w:tcPr>
            <w:tcW w:w="947" w:type="dxa"/>
            <w:tcBorders>
              <w:top w:val="dotted" w:color="auto" w:sz="4" w:space="0"/>
              <w:left w:val="dotted" w:color="auto" w:sz="4" w:space="0"/>
              <w:bottom w:val="dotted" w:color="auto" w:sz="4" w:space="0"/>
              <w:right w:val="nil"/>
            </w:tcBorders>
            <w:noWrap/>
            <w:vAlign w:val="center"/>
          </w:tcPr>
          <w:p w14:paraId="1C0A7E0B">
            <w:pPr>
              <w:widowControl/>
              <w:autoSpaceDE w:val="0"/>
              <w:spacing w:before="10" w:line="240" w:lineRule="auto"/>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2.62</w:t>
            </w:r>
          </w:p>
        </w:tc>
      </w:tr>
      <w:tr w14:paraId="482BAD66">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noWrap/>
            <w:vAlign w:val="center"/>
          </w:tcPr>
          <w:p w14:paraId="0CD82AD2">
            <w:pPr>
              <w:rPr>
                <w:rFonts w:hint="eastAsia" w:ascii="仿宋" w:hAnsi="仿宋" w:eastAsia="仿宋" w:cs="仿宋"/>
                <w:sz w:val="24"/>
                <w:szCs w:val="24"/>
                <w:highlight w:val="none"/>
              </w:rPr>
            </w:pPr>
          </w:p>
        </w:tc>
        <w:tc>
          <w:tcPr>
            <w:tcW w:w="704" w:type="dxa"/>
            <w:vMerge w:val="continue"/>
            <w:tcBorders>
              <w:top w:val="dotted" w:color="auto" w:sz="4" w:space="0"/>
              <w:left w:val="dotted" w:color="auto" w:sz="4" w:space="0"/>
              <w:bottom w:val="dotted" w:color="auto" w:sz="4" w:space="0"/>
              <w:right w:val="dotted" w:color="auto" w:sz="4" w:space="0"/>
            </w:tcBorders>
            <w:noWrap/>
            <w:vAlign w:val="center"/>
          </w:tcPr>
          <w:p w14:paraId="090368B3">
            <w:pPr>
              <w:rPr>
                <w:rFonts w:hint="eastAsia" w:ascii="仿宋" w:hAnsi="仿宋" w:eastAsia="仿宋" w:cs="仿宋"/>
                <w:sz w:val="24"/>
                <w:szCs w:val="24"/>
                <w:highlight w:val="none"/>
              </w:rPr>
            </w:pPr>
          </w:p>
        </w:tc>
        <w:tc>
          <w:tcPr>
            <w:tcW w:w="1743" w:type="dxa"/>
            <w:vMerge w:val="continue"/>
            <w:tcBorders>
              <w:top w:val="dotted" w:color="auto" w:sz="4" w:space="0"/>
              <w:left w:val="dotted" w:color="auto" w:sz="4" w:space="0"/>
              <w:bottom w:val="dotted" w:color="auto" w:sz="4" w:space="0"/>
              <w:right w:val="dotted" w:color="auto" w:sz="4" w:space="0"/>
            </w:tcBorders>
            <w:noWrap w:val="0"/>
            <w:vAlign w:val="center"/>
          </w:tcPr>
          <w:p w14:paraId="7645C70C">
            <w:pPr>
              <w:rPr>
                <w:rFonts w:hint="eastAsia" w:ascii="仿宋" w:hAnsi="仿宋" w:eastAsia="仿宋" w:cs="仿宋"/>
                <w:sz w:val="24"/>
                <w:szCs w:val="24"/>
                <w:highlight w:val="none"/>
              </w:rPr>
            </w:pPr>
          </w:p>
        </w:tc>
        <w:tc>
          <w:tcPr>
            <w:tcW w:w="2833" w:type="dxa"/>
            <w:tcBorders>
              <w:top w:val="dotted" w:color="auto" w:sz="4" w:space="0"/>
              <w:left w:val="dotted" w:color="auto" w:sz="4" w:space="0"/>
              <w:bottom w:val="dotted" w:color="auto" w:sz="4" w:space="0"/>
              <w:right w:val="dotted" w:color="auto" w:sz="4" w:space="0"/>
            </w:tcBorders>
            <w:noWrap/>
            <w:vAlign w:val="center"/>
          </w:tcPr>
          <w:p w14:paraId="35B2EE1F">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完成及时率</w:t>
            </w:r>
          </w:p>
        </w:tc>
        <w:tc>
          <w:tcPr>
            <w:tcW w:w="1122" w:type="dxa"/>
            <w:tcBorders>
              <w:top w:val="dotted" w:color="auto" w:sz="4" w:space="0"/>
              <w:left w:val="dotted" w:color="auto" w:sz="4" w:space="0"/>
              <w:bottom w:val="dotted" w:color="auto" w:sz="4" w:space="0"/>
              <w:right w:val="dotted" w:color="auto" w:sz="4" w:space="0"/>
            </w:tcBorders>
            <w:noWrap/>
            <w:vAlign w:val="center"/>
          </w:tcPr>
          <w:p w14:paraId="217CD306">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4</w:t>
            </w:r>
          </w:p>
        </w:tc>
        <w:tc>
          <w:tcPr>
            <w:tcW w:w="947" w:type="dxa"/>
            <w:tcBorders>
              <w:top w:val="dotted" w:color="auto" w:sz="4" w:space="0"/>
              <w:left w:val="dotted" w:color="auto" w:sz="4" w:space="0"/>
              <w:bottom w:val="dotted" w:color="auto" w:sz="4" w:space="0"/>
              <w:right w:val="nil"/>
            </w:tcBorders>
            <w:noWrap/>
            <w:vAlign w:val="center"/>
          </w:tcPr>
          <w:p w14:paraId="4C350B6C">
            <w:pPr>
              <w:widowControl/>
              <w:autoSpaceDE w:val="0"/>
              <w:spacing w:before="10" w:line="240" w:lineRule="auto"/>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color w:val="000000"/>
                <w:sz w:val="24"/>
                <w:szCs w:val="24"/>
                <w:highlight w:val="none"/>
                <w:lang w:val="en-US" w:eastAsia="zh-CN"/>
              </w:rPr>
              <w:t>2.62</w:t>
            </w:r>
          </w:p>
        </w:tc>
      </w:tr>
      <w:tr w14:paraId="13DB0E28">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noWrap/>
            <w:vAlign w:val="center"/>
          </w:tcPr>
          <w:p w14:paraId="6B59BABD">
            <w:pPr>
              <w:rPr>
                <w:rFonts w:hint="eastAsia" w:ascii="仿宋" w:hAnsi="仿宋" w:eastAsia="仿宋" w:cs="仿宋"/>
                <w:sz w:val="24"/>
                <w:szCs w:val="24"/>
                <w:highlight w:val="none"/>
              </w:rPr>
            </w:pPr>
          </w:p>
        </w:tc>
        <w:tc>
          <w:tcPr>
            <w:tcW w:w="704" w:type="dxa"/>
            <w:vMerge w:val="continue"/>
            <w:tcBorders>
              <w:top w:val="dotted" w:color="auto" w:sz="4" w:space="0"/>
              <w:left w:val="dotted" w:color="auto" w:sz="4" w:space="0"/>
              <w:bottom w:val="dotted" w:color="auto" w:sz="4" w:space="0"/>
              <w:right w:val="dotted" w:color="auto" w:sz="4" w:space="0"/>
            </w:tcBorders>
            <w:noWrap/>
            <w:vAlign w:val="center"/>
          </w:tcPr>
          <w:p w14:paraId="14F8DA99">
            <w:pPr>
              <w:rPr>
                <w:rFonts w:hint="eastAsia" w:ascii="仿宋" w:hAnsi="仿宋" w:eastAsia="仿宋" w:cs="仿宋"/>
                <w:sz w:val="24"/>
                <w:szCs w:val="24"/>
                <w:highlight w:val="none"/>
              </w:rPr>
            </w:pPr>
          </w:p>
        </w:tc>
        <w:tc>
          <w:tcPr>
            <w:tcW w:w="1743" w:type="dxa"/>
            <w:vMerge w:val="continue"/>
            <w:tcBorders>
              <w:top w:val="dotted" w:color="auto" w:sz="4" w:space="0"/>
              <w:left w:val="dotted" w:color="auto" w:sz="4" w:space="0"/>
              <w:bottom w:val="dotted" w:color="auto" w:sz="4" w:space="0"/>
              <w:right w:val="dotted" w:color="auto" w:sz="4" w:space="0"/>
            </w:tcBorders>
            <w:noWrap w:val="0"/>
            <w:vAlign w:val="center"/>
          </w:tcPr>
          <w:p w14:paraId="58E35829">
            <w:pPr>
              <w:rPr>
                <w:rFonts w:hint="eastAsia" w:ascii="仿宋" w:hAnsi="仿宋" w:eastAsia="仿宋" w:cs="仿宋"/>
                <w:sz w:val="24"/>
                <w:szCs w:val="24"/>
                <w:highlight w:val="none"/>
              </w:rPr>
            </w:pPr>
          </w:p>
        </w:tc>
        <w:tc>
          <w:tcPr>
            <w:tcW w:w="2833" w:type="dxa"/>
            <w:tcBorders>
              <w:top w:val="dotted" w:color="auto" w:sz="4" w:space="0"/>
              <w:left w:val="dotted" w:color="auto" w:sz="4" w:space="0"/>
              <w:bottom w:val="dotted" w:color="auto" w:sz="4" w:space="0"/>
              <w:right w:val="dotted" w:color="auto" w:sz="4" w:space="0"/>
            </w:tcBorders>
            <w:noWrap/>
            <w:vAlign w:val="center"/>
          </w:tcPr>
          <w:p w14:paraId="445BC9A8">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质量达标率</w:t>
            </w:r>
          </w:p>
        </w:tc>
        <w:tc>
          <w:tcPr>
            <w:tcW w:w="1122" w:type="dxa"/>
            <w:tcBorders>
              <w:top w:val="dotted" w:color="auto" w:sz="4" w:space="0"/>
              <w:left w:val="dotted" w:color="auto" w:sz="4" w:space="0"/>
              <w:bottom w:val="dotted" w:color="auto" w:sz="4" w:space="0"/>
              <w:right w:val="dotted" w:color="auto" w:sz="4" w:space="0"/>
            </w:tcBorders>
            <w:noWrap/>
            <w:vAlign w:val="center"/>
          </w:tcPr>
          <w:p w14:paraId="4F5D78B5">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4</w:t>
            </w:r>
          </w:p>
        </w:tc>
        <w:tc>
          <w:tcPr>
            <w:tcW w:w="947" w:type="dxa"/>
            <w:tcBorders>
              <w:top w:val="dotted" w:color="auto" w:sz="4" w:space="0"/>
              <w:left w:val="dotted" w:color="auto" w:sz="4" w:space="0"/>
              <w:bottom w:val="dotted" w:color="auto" w:sz="4" w:space="0"/>
              <w:right w:val="nil"/>
            </w:tcBorders>
            <w:noWrap/>
            <w:vAlign w:val="center"/>
          </w:tcPr>
          <w:p w14:paraId="3EF3CF50">
            <w:pPr>
              <w:widowControl/>
              <w:autoSpaceDE w:val="0"/>
              <w:spacing w:before="10" w:line="240" w:lineRule="auto"/>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color w:val="000000"/>
                <w:sz w:val="24"/>
                <w:szCs w:val="24"/>
                <w:highlight w:val="none"/>
                <w:lang w:val="en-US" w:eastAsia="zh-CN"/>
              </w:rPr>
              <w:t>2.62</w:t>
            </w:r>
          </w:p>
        </w:tc>
      </w:tr>
      <w:tr w14:paraId="3DEBCC20">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noWrap/>
            <w:vAlign w:val="center"/>
          </w:tcPr>
          <w:p w14:paraId="045F7584">
            <w:pPr>
              <w:rPr>
                <w:rFonts w:hint="eastAsia" w:ascii="仿宋" w:hAnsi="仿宋" w:eastAsia="仿宋" w:cs="仿宋"/>
                <w:sz w:val="24"/>
                <w:szCs w:val="24"/>
                <w:highlight w:val="none"/>
              </w:rPr>
            </w:pPr>
          </w:p>
        </w:tc>
        <w:tc>
          <w:tcPr>
            <w:tcW w:w="704" w:type="dxa"/>
            <w:vMerge w:val="continue"/>
            <w:tcBorders>
              <w:top w:val="dotted" w:color="auto" w:sz="4" w:space="0"/>
              <w:left w:val="dotted" w:color="auto" w:sz="4" w:space="0"/>
              <w:bottom w:val="dotted" w:color="auto" w:sz="4" w:space="0"/>
              <w:right w:val="dotted" w:color="auto" w:sz="4" w:space="0"/>
            </w:tcBorders>
            <w:noWrap/>
            <w:vAlign w:val="center"/>
          </w:tcPr>
          <w:p w14:paraId="4915EEA1">
            <w:pPr>
              <w:rPr>
                <w:rFonts w:hint="eastAsia" w:ascii="仿宋" w:hAnsi="仿宋" w:eastAsia="仿宋" w:cs="仿宋"/>
                <w:sz w:val="24"/>
                <w:szCs w:val="24"/>
                <w:highlight w:val="none"/>
              </w:rPr>
            </w:pPr>
          </w:p>
        </w:tc>
        <w:tc>
          <w:tcPr>
            <w:tcW w:w="1743" w:type="dxa"/>
            <w:vMerge w:val="continue"/>
            <w:tcBorders>
              <w:top w:val="dotted" w:color="auto" w:sz="4" w:space="0"/>
              <w:left w:val="dotted" w:color="auto" w:sz="4" w:space="0"/>
              <w:bottom w:val="dotted" w:color="auto" w:sz="4" w:space="0"/>
              <w:right w:val="dotted" w:color="auto" w:sz="4" w:space="0"/>
            </w:tcBorders>
            <w:noWrap w:val="0"/>
            <w:vAlign w:val="center"/>
          </w:tcPr>
          <w:p w14:paraId="4F4735A2">
            <w:pPr>
              <w:rPr>
                <w:rFonts w:hint="eastAsia" w:ascii="仿宋" w:hAnsi="仿宋" w:eastAsia="仿宋" w:cs="仿宋"/>
                <w:sz w:val="24"/>
                <w:szCs w:val="24"/>
                <w:highlight w:val="none"/>
              </w:rPr>
            </w:pPr>
          </w:p>
        </w:tc>
        <w:tc>
          <w:tcPr>
            <w:tcW w:w="2833" w:type="dxa"/>
            <w:tcBorders>
              <w:top w:val="dotted" w:color="auto" w:sz="4" w:space="0"/>
              <w:left w:val="dotted" w:color="auto" w:sz="4" w:space="0"/>
              <w:bottom w:val="dotted" w:color="auto" w:sz="4" w:space="0"/>
              <w:right w:val="dotted" w:color="auto" w:sz="4" w:space="0"/>
            </w:tcBorders>
            <w:noWrap/>
            <w:vAlign w:val="center"/>
          </w:tcPr>
          <w:p w14:paraId="6671FF7A">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重点工作办结率</w:t>
            </w:r>
          </w:p>
        </w:tc>
        <w:tc>
          <w:tcPr>
            <w:tcW w:w="1122" w:type="dxa"/>
            <w:tcBorders>
              <w:top w:val="dotted" w:color="auto" w:sz="4" w:space="0"/>
              <w:left w:val="dotted" w:color="auto" w:sz="4" w:space="0"/>
              <w:bottom w:val="dotted" w:color="auto" w:sz="4" w:space="0"/>
              <w:right w:val="dotted" w:color="auto" w:sz="4" w:space="0"/>
            </w:tcBorders>
            <w:noWrap/>
            <w:vAlign w:val="center"/>
          </w:tcPr>
          <w:p w14:paraId="7C19F13F">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4</w:t>
            </w:r>
          </w:p>
        </w:tc>
        <w:tc>
          <w:tcPr>
            <w:tcW w:w="947" w:type="dxa"/>
            <w:tcBorders>
              <w:top w:val="dotted" w:color="auto" w:sz="4" w:space="0"/>
              <w:left w:val="dotted" w:color="auto" w:sz="4" w:space="0"/>
              <w:bottom w:val="dotted" w:color="auto" w:sz="4" w:space="0"/>
              <w:right w:val="nil"/>
            </w:tcBorders>
            <w:noWrap/>
            <w:vAlign w:val="center"/>
          </w:tcPr>
          <w:p w14:paraId="224C08ED">
            <w:pPr>
              <w:widowControl/>
              <w:autoSpaceDE w:val="0"/>
              <w:spacing w:before="10" w:line="240" w:lineRule="auto"/>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2.46</w:t>
            </w:r>
          </w:p>
        </w:tc>
      </w:tr>
      <w:tr w14:paraId="2D44B16E">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6526" w:type="dxa"/>
            <w:gridSpan w:val="4"/>
            <w:tcBorders>
              <w:top w:val="dotted" w:color="auto" w:sz="4" w:space="0"/>
              <w:left w:val="nil"/>
              <w:bottom w:val="single" w:color="auto" w:sz="8" w:space="0"/>
              <w:right w:val="dotted" w:color="auto" w:sz="4" w:space="0"/>
            </w:tcBorders>
            <w:noWrap/>
            <w:vAlign w:val="center"/>
          </w:tcPr>
          <w:p w14:paraId="71E9861C">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b/>
                <w:bCs/>
                <w:color w:val="000000"/>
                <w:kern w:val="0"/>
                <w:sz w:val="24"/>
                <w:szCs w:val="24"/>
                <w:highlight w:val="none"/>
                <w:lang w:bidi="ar"/>
              </w:rPr>
              <w:t>合计</w:t>
            </w:r>
          </w:p>
        </w:tc>
        <w:tc>
          <w:tcPr>
            <w:tcW w:w="1122" w:type="dxa"/>
            <w:tcBorders>
              <w:top w:val="dotted" w:color="auto" w:sz="4" w:space="0"/>
              <w:left w:val="dotted" w:color="auto" w:sz="4" w:space="0"/>
              <w:bottom w:val="single" w:color="auto" w:sz="8" w:space="0"/>
              <w:right w:val="dotted" w:color="auto" w:sz="4" w:space="0"/>
            </w:tcBorders>
            <w:noWrap/>
            <w:vAlign w:val="center"/>
          </w:tcPr>
          <w:p w14:paraId="2505F4E7">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b/>
                <w:bCs/>
                <w:color w:val="000000"/>
                <w:kern w:val="0"/>
                <w:sz w:val="24"/>
                <w:szCs w:val="24"/>
                <w:highlight w:val="none"/>
                <w:lang w:bidi="ar"/>
              </w:rPr>
              <w:t>16</w:t>
            </w:r>
          </w:p>
        </w:tc>
        <w:tc>
          <w:tcPr>
            <w:tcW w:w="947" w:type="dxa"/>
            <w:tcBorders>
              <w:top w:val="dotted" w:color="auto" w:sz="4" w:space="0"/>
              <w:left w:val="dotted" w:color="auto" w:sz="4" w:space="0"/>
              <w:bottom w:val="single" w:color="auto" w:sz="8" w:space="0"/>
              <w:right w:val="nil"/>
            </w:tcBorders>
            <w:noWrap/>
            <w:vAlign w:val="center"/>
          </w:tcPr>
          <w:p w14:paraId="688981AC">
            <w:pPr>
              <w:widowControl/>
              <w:autoSpaceDE w:val="0"/>
              <w:spacing w:before="10" w:line="240" w:lineRule="auto"/>
              <w:jc w:val="center"/>
              <w:textAlignment w:val="cente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10.32</w:t>
            </w:r>
          </w:p>
        </w:tc>
      </w:tr>
    </w:tbl>
    <w:p w14:paraId="484071B7">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1.职责履行情况</w:t>
      </w:r>
    </w:p>
    <w:p w14:paraId="1792DDE0">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（1）实际完成率</w:t>
      </w:r>
    </w:p>
    <w:p w14:paraId="23A60908">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b w:val="0"/>
          <w:bCs w:val="0"/>
          <w:i w:val="0"/>
          <w:iCs w:val="0"/>
          <w:caps w:val="0"/>
          <w:color w:val="000000"/>
          <w:spacing w:val="0"/>
          <w:kern w:val="0"/>
          <w:sz w:val="32"/>
          <w:szCs w:val="32"/>
          <w:lang w:val="en-US" w:eastAsia="zh-CN"/>
        </w:rPr>
        <w:t>市消防支队</w:t>
      </w:r>
      <w:r>
        <w:rPr>
          <w:rFonts w:hint="eastAsia" w:ascii="仿宋" w:hAnsi="仿宋" w:eastAsia="仿宋" w:cs="仿宋"/>
          <w:sz w:val="32"/>
          <w:szCs w:val="32"/>
          <w:highlight w:val="none"/>
        </w:rPr>
        <w:t>2023年计划完成项目数为</w:t>
      </w:r>
      <w:r>
        <w:rPr>
          <w:rFonts w:hint="eastAsia" w:ascii="仿宋" w:hAnsi="仿宋" w:eastAsia="仿宋" w:cs="仿宋"/>
          <w:sz w:val="32"/>
          <w:szCs w:val="32"/>
          <w:highlight w:val="none"/>
          <w:lang w:val="en-US" w:eastAsia="zh-CN"/>
        </w:rPr>
        <w:t>29</w:t>
      </w:r>
      <w:r>
        <w:rPr>
          <w:rFonts w:hint="eastAsia" w:ascii="仿宋" w:hAnsi="仿宋" w:eastAsia="仿宋" w:cs="仿宋"/>
          <w:sz w:val="32"/>
          <w:szCs w:val="32"/>
          <w:highlight w:val="none"/>
        </w:rPr>
        <w:t>个，</w:t>
      </w:r>
      <w:r>
        <w:rPr>
          <w:rFonts w:hint="eastAsia" w:ascii="仿宋" w:hAnsi="仿宋" w:eastAsia="仿宋" w:cs="仿宋"/>
          <w:sz w:val="32"/>
          <w:szCs w:val="32"/>
          <w:highlight w:val="none"/>
          <w:lang w:val="en-US" w:eastAsia="zh-CN"/>
        </w:rPr>
        <w:t>截至2023年12月31日，</w:t>
      </w:r>
      <w:r>
        <w:rPr>
          <w:rFonts w:hint="eastAsia" w:ascii="仿宋" w:hAnsi="仿宋" w:eastAsia="仿宋" w:cs="仿宋"/>
          <w:sz w:val="32"/>
          <w:szCs w:val="32"/>
          <w:highlight w:val="none"/>
        </w:rPr>
        <w:t>实际完成任务数为</w:t>
      </w:r>
      <w:r>
        <w:rPr>
          <w:rFonts w:hint="eastAsia" w:ascii="仿宋" w:hAnsi="仿宋" w:eastAsia="仿宋" w:cs="仿宋"/>
          <w:sz w:val="32"/>
          <w:szCs w:val="32"/>
          <w:highlight w:val="none"/>
          <w:lang w:val="en-US" w:eastAsia="zh-CN"/>
        </w:rPr>
        <w:t>19</w:t>
      </w:r>
      <w:r>
        <w:rPr>
          <w:rFonts w:hint="eastAsia" w:ascii="仿宋" w:hAnsi="仿宋" w:eastAsia="仿宋" w:cs="仿宋"/>
          <w:sz w:val="32"/>
          <w:szCs w:val="32"/>
          <w:highlight w:val="none"/>
        </w:rPr>
        <w:t>个，实际完成率为</w:t>
      </w:r>
      <w:r>
        <w:rPr>
          <w:rFonts w:hint="eastAsia" w:ascii="仿宋" w:hAnsi="仿宋" w:eastAsia="仿宋" w:cs="仿宋"/>
          <w:sz w:val="32"/>
          <w:szCs w:val="32"/>
          <w:highlight w:val="none"/>
          <w:lang w:val="en-US" w:eastAsia="zh-CN"/>
        </w:rPr>
        <w:t>65.52</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本项满分4分，扣1.38分，实际</w:t>
      </w:r>
      <w:r>
        <w:rPr>
          <w:rFonts w:hint="eastAsia" w:ascii="仿宋" w:hAnsi="仿宋" w:eastAsia="仿宋" w:cs="仿宋"/>
          <w:sz w:val="32"/>
          <w:szCs w:val="32"/>
          <w:highlight w:val="none"/>
        </w:rPr>
        <w:t>得</w:t>
      </w:r>
      <w:r>
        <w:rPr>
          <w:rFonts w:hint="eastAsia" w:ascii="仿宋" w:hAnsi="仿宋" w:eastAsia="仿宋" w:cs="仿宋"/>
          <w:sz w:val="32"/>
          <w:szCs w:val="32"/>
          <w:highlight w:val="none"/>
          <w:lang w:val="en-US" w:eastAsia="zh-CN"/>
        </w:rPr>
        <w:t>分2.62</w:t>
      </w:r>
      <w:r>
        <w:rPr>
          <w:rFonts w:hint="eastAsia" w:ascii="仿宋" w:hAnsi="仿宋" w:eastAsia="仿宋" w:cs="仿宋"/>
          <w:sz w:val="32"/>
          <w:szCs w:val="32"/>
          <w:highlight w:val="none"/>
        </w:rPr>
        <w:t>分。</w:t>
      </w:r>
    </w:p>
    <w:p w14:paraId="4C376B94">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（2）完成及时率</w:t>
      </w:r>
    </w:p>
    <w:p w14:paraId="345DF369">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b w:val="0"/>
          <w:bCs w:val="0"/>
          <w:i w:val="0"/>
          <w:iCs w:val="0"/>
          <w:caps w:val="0"/>
          <w:color w:val="000000"/>
          <w:spacing w:val="0"/>
          <w:kern w:val="0"/>
          <w:sz w:val="32"/>
          <w:szCs w:val="32"/>
          <w:lang w:val="en-US" w:eastAsia="zh-CN"/>
        </w:rPr>
        <w:t>市消防支队</w:t>
      </w:r>
      <w:r>
        <w:rPr>
          <w:rFonts w:hint="eastAsia" w:ascii="仿宋" w:hAnsi="仿宋" w:eastAsia="仿宋" w:cs="仿宋"/>
          <w:sz w:val="32"/>
          <w:szCs w:val="32"/>
          <w:highlight w:val="none"/>
        </w:rPr>
        <w:t>2023年计划完成项目数为</w:t>
      </w:r>
      <w:r>
        <w:rPr>
          <w:rFonts w:hint="eastAsia" w:ascii="仿宋" w:hAnsi="仿宋" w:eastAsia="仿宋" w:cs="仿宋"/>
          <w:sz w:val="32"/>
          <w:szCs w:val="32"/>
          <w:highlight w:val="none"/>
          <w:lang w:val="en-US" w:eastAsia="zh-CN"/>
        </w:rPr>
        <w:t>29</w:t>
      </w:r>
      <w:r>
        <w:rPr>
          <w:rFonts w:hint="eastAsia" w:ascii="仿宋" w:hAnsi="仿宋" w:eastAsia="仿宋" w:cs="仿宋"/>
          <w:sz w:val="32"/>
          <w:szCs w:val="32"/>
          <w:highlight w:val="none"/>
        </w:rPr>
        <w:t>个，截至2023年12月</w:t>
      </w:r>
      <w:r>
        <w:rPr>
          <w:rFonts w:hint="eastAsia" w:ascii="仿宋" w:hAnsi="仿宋" w:eastAsia="仿宋" w:cs="仿宋"/>
          <w:sz w:val="32"/>
          <w:szCs w:val="32"/>
          <w:highlight w:val="none"/>
          <w:lang w:val="en-US" w:eastAsia="zh-CN"/>
        </w:rPr>
        <w:t>31日</w:t>
      </w:r>
      <w:r>
        <w:rPr>
          <w:rFonts w:hint="eastAsia" w:ascii="仿宋" w:hAnsi="仿宋" w:eastAsia="仿宋" w:cs="仿宋"/>
          <w:sz w:val="32"/>
          <w:szCs w:val="32"/>
          <w:highlight w:val="none"/>
        </w:rPr>
        <w:t>，实际及时完成任务数为</w:t>
      </w:r>
      <w:r>
        <w:rPr>
          <w:rFonts w:hint="eastAsia" w:ascii="仿宋" w:hAnsi="仿宋" w:eastAsia="仿宋" w:cs="仿宋"/>
          <w:sz w:val="32"/>
          <w:szCs w:val="32"/>
          <w:highlight w:val="none"/>
          <w:lang w:val="en-US" w:eastAsia="zh-CN"/>
        </w:rPr>
        <w:t>19</w:t>
      </w:r>
      <w:r>
        <w:rPr>
          <w:rFonts w:hint="eastAsia" w:ascii="仿宋" w:hAnsi="仿宋" w:eastAsia="仿宋" w:cs="仿宋"/>
          <w:sz w:val="32"/>
          <w:szCs w:val="32"/>
          <w:highlight w:val="none"/>
        </w:rPr>
        <w:t>个，实际完成率为</w:t>
      </w:r>
      <w:r>
        <w:rPr>
          <w:rFonts w:hint="eastAsia" w:ascii="仿宋" w:hAnsi="仿宋" w:eastAsia="仿宋" w:cs="仿宋"/>
          <w:sz w:val="32"/>
          <w:szCs w:val="32"/>
          <w:highlight w:val="none"/>
          <w:lang w:val="en-US" w:eastAsia="zh-CN"/>
        </w:rPr>
        <w:t>65.52</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本项满分4分，扣1.38分，实际</w:t>
      </w:r>
      <w:r>
        <w:rPr>
          <w:rFonts w:hint="eastAsia" w:ascii="仿宋" w:hAnsi="仿宋" w:eastAsia="仿宋" w:cs="仿宋"/>
          <w:sz w:val="32"/>
          <w:szCs w:val="32"/>
          <w:highlight w:val="none"/>
        </w:rPr>
        <w:t>得</w:t>
      </w:r>
      <w:r>
        <w:rPr>
          <w:rFonts w:hint="eastAsia" w:ascii="仿宋" w:hAnsi="仿宋" w:eastAsia="仿宋" w:cs="仿宋"/>
          <w:sz w:val="32"/>
          <w:szCs w:val="32"/>
          <w:highlight w:val="none"/>
          <w:lang w:val="en-US" w:eastAsia="zh-CN"/>
        </w:rPr>
        <w:t>分2.62</w:t>
      </w:r>
      <w:r>
        <w:rPr>
          <w:rFonts w:hint="eastAsia" w:ascii="仿宋" w:hAnsi="仿宋" w:eastAsia="仿宋" w:cs="仿宋"/>
          <w:sz w:val="32"/>
          <w:szCs w:val="32"/>
          <w:highlight w:val="none"/>
        </w:rPr>
        <w:t>分。</w:t>
      </w:r>
    </w:p>
    <w:p w14:paraId="29B4F8E3">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（3）质量达标率</w:t>
      </w:r>
    </w:p>
    <w:p w14:paraId="25255572">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b w:val="0"/>
          <w:bCs w:val="0"/>
          <w:i w:val="0"/>
          <w:iCs w:val="0"/>
          <w:caps w:val="0"/>
          <w:color w:val="000000"/>
          <w:spacing w:val="0"/>
          <w:kern w:val="0"/>
          <w:sz w:val="32"/>
          <w:szCs w:val="32"/>
          <w:lang w:val="en-US" w:eastAsia="zh-CN"/>
        </w:rPr>
        <w:t>市消防支队</w:t>
      </w:r>
      <w:r>
        <w:rPr>
          <w:rFonts w:hint="eastAsia" w:ascii="仿宋" w:hAnsi="仿宋" w:eastAsia="仿宋" w:cs="仿宋"/>
          <w:sz w:val="32"/>
          <w:szCs w:val="32"/>
          <w:highlight w:val="none"/>
        </w:rPr>
        <w:t>2023年计划完成项目数为</w:t>
      </w:r>
      <w:r>
        <w:rPr>
          <w:rFonts w:hint="eastAsia" w:ascii="仿宋" w:hAnsi="仿宋" w:eastAsia="仿宋" w:cs="仿宋"/>
          <w:sz w:val="32"/>
          <w:szCs w:val="32"/>
          <w:highlight w:val="none"/>
          <w:lang w:val="en-US" w:eastAsia="zh-CN"/>
        </w:rPr>
        <w:t>29</w:t>
      </w:r>
      <w:r>
        <w:rPr>
          <w:rFonts w:hint="eastAsia" w:ascii="仿宋" w:hAnsi="仿宋" w:eastAsia="仿宋" w:cs="仿宋"/>
          <w:sz w:val="32"/>
          <w:szCs w:val="32"/>
          <w:highlight w:val="none"/>
        </w:rPr>
        <w:t>个，截至2023年12月</w:t>
      </w:r>
      <w:r>
        <w:rPr>
          <w:rFonts w:hint="eastAsia" w:ascii="仿宋" w:hAnsi="仿宋" w:eastAsia="仿宋" w:cs="仿宋"/>
          <w:sz w:val="32"/>
          <w:szCs w:val="32"/>
          <w:highlight w:val="none"/>
          <w:lang w:val="en-US" w:eastAsia="zh-CN"/>
        </w:rPr>
        <w:t>31日</w:t>
      </w:r>
      <w:r>
        <w:rPr>
          <w:rFonts w:hint="eastAsia" w:ascii="仿宋" w:hAnsi="仿宋" w:eastAsia="仿宋" w:cs="仿宋"/>
          <w:sz w:val="32"/>
          <w:szCs w:val="32"/>
          <w:highlight w:val="none"/>
        </w:rPr>
        <w:t>，实际完成工作数中达到部门绩效目标要求</w:t>
      </w:r>
      <w:r>
        <w:rPr>
          <w:rFonts w:hint="eastAsia" w:ascii="仿宋" w:hAnsi="仿宋" w:eastAsia="仿宋" w:cs="仿宋"/>
          <w:sz w:val="32"/>
          <w:szCs w:val="32"/>
          <w:highlight w:val="none"/>
          <w:lang w:val="en-US" w:eastAsia="zh-CN"/>
        </w:rPr>
        <w:t>质量的</w:t>
      </w:r>
      <w:r>
        <w:rPr>
          <w:rFonts w:hint="eastAsia" w:ascii="仿宋" w:hAnsi="仿宋" w:eastAsia="仿宋" w:cs="仿宋"/>
          <w:sz w:val="32"/>
          <w:szCs w:val="32"/>
          <w:highlight w:val="none"/>
        </w:rPr>
        <w:t>工作任务数为</w:t>
      </w:r>
      <w:r>
        <w:rPr>
          <w:rFonts w:hint="eastAsia" w:ascii="仿宋" w:hAnsi="仿宋" w:eastAsia="仿宋" w:cs="仿宋"/>
          <w:sz w:val="32"/>
          <w:szCs w:val="32"/>
          <w:highlight w:val="none"/>
          <w:lang w:val="en-US" w:eastAsia="zh-CN"/>
        </w:rPr>
        <w:t>19</w:t>
      </w:r>
      <w:r>
        <w:rPr>
          <w:rFonts w:hint="eastAsia" w:ascii="仿宋" w:hAnsi="仿宋" w:eastAsia="仿宋" w:cs="仿宋"/>
          <w:sz w:val="32"/>
          <w:szCs w:val="32"/>
          <w:highlight w:val="none"/>
        </w:rPr>
        <w:t>个，质量达标率</w:t>
      </w:r>
      <w:r>
        <w:rPr>
          <w:rFonts w:hint="eastAsia" w:ascii="仿宋" w:hAnsi="仿宋" w:eastAsia="仿宋" w:cs="仿宋"/>
          <w:sz w:val="32"/>
          <w:szCs w:val="32"/>
          <w:highlight w:val="none"/>
          <w:lang w:val="en-US" w:eastAsia="zh-CN"/>
        </w:rPr>
        <w:t>65.52</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本项满分4分，扣1.38分，实际</w:t>
      </w:r>
      <w:r>
        <w:rPr>
          <w:rFonts w:hint="eastAsia" w:ascii="仿宋" w:hAnsi="仿宋" w:eastAsia="仿宋" w:cs="仿宋"/>
          <w:sz w:val="32"/>
          <w:szCs w:val="32"/>
          <w:highlight w:val="none"/>
        </w:rPr>
        <w:t>得</w:t>
      </w:r>
      <w:r>
        <w:rPr>
          <w:rFonts w:hint="eastAsia" w:ascii="仿宋" w:hAnsi="仿宋" w:eastAsia="仿宋" w:cs="仿宋"/>
          <w:sz w:val="32"/>
          <w:szCs w:val="32"/>
          <w:highlight w:val="none"/>
          <w:lang w:val="en-US" w:eastAsia="zh-CN"/>
        </w:rPr>
        <w:t>分2.62</w:t>
      </w:r>
      <w:r>
        <w:rPr>
          <w:rFonts w:hint="eastAsia" w:ascii="仿宋" w:hAnsi="仿宋" w:eastAsia="仿宋" w:cs="仿宋"/>
          <w:sz w:val="32"/>
          <w:szCs w:val="32"/>
          <w:highlight w:val="none"/>
        </w:rPr>
        <w:t>分。</w:t>
      </w:r>
    </w:p>
    <w:p w14:paraId="7E4F3676">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（4）重点工作办结率</w:t>
      </w:r>
    </w:p>
    <w:p w14:paraId="62947480">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b w:val="0"/>
          <w:bCs w:val="0"/>
          <w:i w:val="0"/>
          <w:iCs w:val="0"/>
          <w:caps w:val="0"/>
          <w:color w:val="000000"/>
          <w:spacing w:val="0"/>
          <w:kern w:val="0"/>
          <w:sz w:val="32"/>
          <w:szCs w:val="32"/>
          <w:lang w:val="en-US" w:eastAsia="zh-CN"/>
        </w:rPr>
        <w:t>市消防支队</w:t>
      </w:r>
      <w:r>
        <w:rPr>
          <w:rFonts w:hint="eastAsia" w:ascii="仿宋" w:hAnsi="仿宋" w:eastAsia="仿宋" w:cs="仿宋"/>
          <w:sz w:val="32"/>
          <w:szCs w:val="32"/>
          <w:highlight w:val="none"/>
          <w:lang w:val="en-US" w:eastAsia="zh-CN"/>
        </w:rPr>
        <w:t>将</w:t>
      </w:r>
      <w:r>
        <w:rPr>
          <w:rFonts w:hint="eastAsia" w:ascii="仿宋" w:hAnsi="仿宋" w:eastAsia="仿宋" w:cs="仿宋"/>
          <w:sz w:val="32"/>
          <w:szCs w:val="32"/>
          <w:highlight w:val="none"/>
        </w:rPr>
        <w:t>项目支出金额大于</w:t>
      </w:r>
      <w:r>
        <w:rPr>
          <w:rFonts w:hint="eastAsia" w:ascii="仿宋" w:hAnsi="仿宋" w:eastAsia="仿宋" w:cs="仿宋"/>
          <w:sz w:val="32"/>
          <w:szCs w:val="32"/>
          <w:highlight w:val="none"/>
          <w:lang w:val="en-US" w:eastAsia="zh-CN"/>
        </w:rPr>
        <w:t>20.00</w:t>
      </w:r>
      <w:r>
        <w:rPr>
          <w:rFonts w:hint="eastAsia" w:ascii="仿宋" w:hAnsi="仿宋" w:eastAsia="仿宋" w:cs="仿宋"/>
          <w:sz w:val="32"/>
          <w:szCs w:val="32"/>
          <w:highlight w:val="none"/>
        </w:rPr>
        <w:t>万元的列为</w:t>
      </w:r>
      <w:r>
        <w:rPr>
          <w:rFonts w:hint="eastAsia" w:ascii="仿宋" w:hAnsi="仿宋" w:eastAsia="仿宋" w:cs="仿宋"/>
          <w:sz w:val="32"/>
          <w:szCs w:val="32"/>
          <w:highlight w:val="none"/>
          <w:lang w:val="en-US" w:eastAsia="zh-CN"/>
        </w:rPr>
        <w:t>重</w:t>
      </w:r>
      <w:r>
        <w:rPr>
          <w:rFonts w:hint="eastAsia" w:ascii="仿宋" w:hAnsi="仿宋" w:eastAsia="仿宋" w:cs="仿宋"/>
          <w:sz w:val="32"/>
          <w:szCs w:val="32"/>
          <w:highlight w:val="none"/>
        </w:rPr>
        <w:t>点项目，</w:t>
      </w:r>
      <w:r>
        <w:rPr>
          <w:rFonts w:hint="eastAsia" w:ascii="仿宋" w:hAnsi="仿宋" w:eastAsia="仿宋" w:cs="仿宋"/>
          <w:sz w:val="32"/>
          <w:szCs w:val="32"/>
          <w:highlight w:val="none"/>
          <w:lang w:val="en-US" w:eastAsia="zh-CN"/>
        </w:rPr>
        <w:t>2023</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eastAsia="zh-CN"/>
        </w:rPr>
        <w:t>重</w:t>
      </w:r>
      <w:r>
        <w:rPr>
          <w:rFonts w:hint="eastAsia" w:ascii="仿宋" w:hAnsi="仿宋" w:eastAsia="仿宋" w:cs="仿宋"/>
          <w:sz w:val="32"/>
          <w:szCs w:val="32"/>
          <w:highlight w:val="none"/>
        </w:rPr>
        <w:t>点项目</w:t>
      </w:r>
      <w:r>
        <w:rPr>
          <w:rFonts w:hint="eastAsia" w:ascii="仿宋" w:hAnsi="仿宋" w:eastAsia="仿宋" w:cs="仿宋"/>
          <w:sz w:val="32"/>
          <w:szCs w:val="32"/>
          <w:highlight w:val="none"/>
          <w:lang w:val="en-US" w:eastAsia="zh-CN"/>
        </w:rPr>
        <w:t>26</w:t>
      </w:r>
      <w:r>
        <w:rPr>
          <w:rFonts w:hint="eastAsia" w:ascii="仿宋" w:hAnsi="仿宋" w:eastAsia="仿宋" w:cs="仿宋"/>
          <w:sz w:val="32"/>
          <w:szCs w:val="32"/>
          <w:highlight w:val="none"/>
        </w:rPr>
        <w:t>个，</w:t>
      </w:r>
      <w:r>
        <w:rPr>
          <w:rFonts w:hint="eastAsia" w:ascii="仿宋" w:hAnsi="仿宋" w:eastAsia="仿宋" w:cs="仿宋"/>
          <w:sz w:val="32"/>
          <w:szCs w:val="32"/>
          <w:highlight w:val="none"/>
          <w:lang w:eastAsia="zh-CN"/>
        </w:rPr>
        <w:t>截至2023年</w:t>
      </w:r>
      <w:r>
        <w:rPr>
          <w:rFonts w:hint="eastAsia" w:ascii="仿宋" w:hAnsi="仿宋" w:eastAsia="仿宋" w:cs="仿宋"/>
          <w:sz w:val="32"/>
          <w:szCs w:val="32"/>
          <w:highlight w:val="none"/>
          <w:lang w:val="en-US" w:eastAsia="zh-CN"/>
        </w:rPr>
        <w:t>12月31日，16个重点项目均已完成</w:t>
      </w:r>
      <w:r>
        <w:rPr>
          <w:rFonts w:hint="eastAsia" w:ascii="仿宋" w:hAnsi="仿宋" w:eastAsia="仿宋" w:cs="仿宋"/>
          <w:sz w:val="32"/>
          <w:szCs w:val="32"/>
          <w:highlight w:val="none"/>
        </w:rPr>
        <w:t>。重点工作办结率为</w:t>
      </w:r>
      <w:r>
        <w:rPr>
          <w:rFonts w:hint="eastAsia" w:ascii="仿宋" w:hAnsi="仿宋" w:eastAsia="仿宋" w:cs="仿宋"/>
          <w:sz w:val="32"/>
          <w:szCs w:val="32"/>
          <w:highlight w:val="none"/>
          <w:lang w:val="en-US" w:eastAsia="zh-CN"/>
        </w:rPr>
        <w:t>61.54</w:t>
      </w:r>
      <w:r>
        <w:rPr>
          <w:rFonts w:hint="eastAsia" w:ascii="仿宋" w:hAnsi="仿宋" w:eastAsia="仿宋" w:cs="仿宋"/>
          <w:sz w:val="32"/>
          <w:szCs w:val="32"/>
          <w:highlight w:val="none"/>
        </w:rPr>
        <w:t>%。本</w:t>
      </w:r>
      <w:r>
        <w:rPr>
          <w:rFonts w:hint="eastAsia" w:ascii="仿宋" w:hAnsi="仿宋" w:eastAsia="仿宋" w:cs="仿宋"/>
          <w:sz w:val="32"/>
          <w:szCs w:val="32"/>
          <w:highlight w:val="none"/>
          <w:lang w:val="en-US" w:eastAsia="zh-CN"/>
        </w:rPr>
        <w:t>项满分4</w:t>
      </w:r>
      <w:r>
        <w:rPr>
          <w:rFonts w:hint="eastAsia" w:ascii="仿宋" w:hAnsi="仿宋" w:eastAsia="仿宋" w:cs="仿宋"/>
          <w:sz w:val="32"/>
          <w:szCs w:val="32"/>
          <w:highlight w:val="none"/>
        </w:rPr>
        <w:t>分，</w:t>
      </w:r>
      <w:r>
        <w:rPr>
          <w:rFonts w:hint="eastAsia" w:ascii="仿宋" w:hAnsi="仿宋" w:eastAsia="仿宋" w:cs="仿宋"/>
          <w:sz w:val="32"/>
          <w:szCs w:val="32"/>
          <w:highlight w:val="none"/>
          <w:lang w:val="en-US" w:eastAsia="zh-CN"/>
        </w:rPr>
        <w:t>扣1.54分，实际</w:t>
      </w:r>
      <w:r>
        <w:rPr>
          <w:rFonts w:hint="eastAsia" w:ascii="仿宋" w:hAnsi="仿宋" w:eastAsia="仿宋" w:cs="仿宋"/>
          <w:sz w:val="32"/>
          <w:szCs w:val="32"/>
          <w:highlight w:val="none"/>
        </w:rPr>
        <w:t>得</w:t>
      </w:r>
      <w:r>
        <w:rPr>
          <w:rFonts w:hint="eastAsia" w:ascii="仿宋" w:hAnsi="仿宋" w:eastAsia="仿宋" w:cs="仿宋"/>
          <w:sz w:val="32"/>
          <w:szCs w:val="32"/>
          <w:highlight w:val="none"/>
          <w:lang w:val="en-US" w:eastAsia="zh-CN"/>
        </w:rPr>
        <w:t>分2.46</w:t>
      </w:r>
      <w:r>
        <w:rPr>
          <w:rFonts w:hint="eastAsia" w:ascii="仿宋" w:hAnsi="仿宋" w:eastAsia="仿宋" w:cs="仿宋"/>
          <w:sz w:val="32"/>
          <w:szCs w:val="32"/>
          <w:highlight w:val="none"/>
        </w:rPr>
        <w:t>分。</w:t>
      </w:r>
    </w:p>
    <w:p w14:paraId="3668D720">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outlineLvl w:val="1"/>
        <w:rPr>
          <w:rFonts w:hint="eastAsia" w:ascii="仿宋" w:hAnsi="仿宋" w:eastAsia="仿宋" w:cs="仿宋"/>
          <w:b/>
          <w:bCs/>
          <w:sz w:val="32"/>
          <w:szCs w:val="32"/>
          <w:highlight w:val="none"/>
        </w:rPr>
      </w:pPr>
      <w:bookmarkStart w:id="26" w:name="_Toc18977"/>
      <w:r>
        <w:rPr>
          <w:rFonts w:hint="eastAsia" w:ascii="仿宋" w:hAnsi="仿宋" w:eastAsia="仿宋" w:cs="仿宋"/>
          <w:b/>
          <w:bCs/>
          <w:sz w:val="32"/>
          <w:szCs w:val="32"/>
          <w:highlight w:val="none"/>
          <w:lang w:bidi="ar"/>
        </w:rPr>
        <w:t>（四）部门效益情况</w:t>
      </w:r>
      <w:bookmarkEnd w:id="26"/>
    </w:p>
    <w:p w14:paraId="61DED7BF">
      <w:pPr>
        <w:pStyle w:val="4"/>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从部门整体效果情况的履职效益方面情况进行评价，满分为20分，总得分</w:t>
      </w:r>
      <w:r>
        <w:rPr>
          <w:rFonts w:hint="eastAsia" w:ascii="仿宋" w:hAnsi="仿宋" w:eastAsia="仿宋" w:cs="仿宋"/>
          <w:sz w:val="32"/>
          <w:szCs w:val="32"/>
          <w:highlight w:val="none"/>
          <w:lang w:val="en-US" w:eastAsia="zh-CN"/>
        </w:rPr>
        <w:t>17.13</w:t>
      </w:r>
      <w:r>
        <w:rPr>
          <w:rFonts w:hint="eastAsia" w:ascii="仿宋" w:hAnsi="仿宋" w:eastAsia="仿宋" w:cs="仿宋"/>
          <w:sz w:val="32"/>
          <w:szCs w:val="32"/>
          <w:highlight w:val="none"/>
        </w:rPr>
        <w:t>分。</w:t>
      </w:r>
    </w:p>
    <w:p w14:paraId="3E057B32">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center"/>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表4-4部门效果情况得分表</w:t>
      </w:r>
    </w:p>
    <w:tbl>
      <w:tblPr>
        <w:tblStyle w:val="10"/>
        <w:tblW w:w="8595" w:type="dxa"/>
        <w:jc w:val="center"/>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
      <w:tblGrid>
        <w:gridCol w:w="1246"/>
        <w:gridCol w:w="704"/>
        <w:gridCol w:w="1478"/>
        <w:gridCol w:w="3098"/>
        <w:gridCol w:w="1122"/>
        <w:gridCol w:w="947"/>
      </w:tblGrid>
      <w:tr w14:paraId="536AAA8B">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tcBorders>
              <w:top w:val="single" w:color="auto" w:sz="8" w:space="0"/>
              <w:left w:val="nil"/>
              <w:bottom w:val="dotted" w:color="auto" w:sz="4" w:space="0"/>
              <w:right w:val="dotted" w:color="auto" w:sz="4" w:space="0"/>
            </w:tcBorders>
            <w:noWrap/>
            <w:vAlign w:val="center"/>
          </w:tcPr>
          <w:p w14:paraId="58128230">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一级指标</w:t>
            </w:r>
          </w:p>
        </w:tc>
        <w:tc>
          <w:tcPr>
            <w:tcW w:w="704" w:type="dxa"/>
            <w:tcBorders>
              <w:top w:val="single" w:color="auto" w:sz="8" w:space="0"/>
              <w:left w:val="dotted" w:color="auto" w:sz="4" w:space="0"/>
              <w:bottom w:val="dotted" w:color="auto" w:sz="4" w:space="0"/>
              <w:right w:val="dotted" w:color="auto" w:sz="4" w:space="0"/>
            </w:tcBorders>
            <w:noWrap/>
            <w:vAlign w:val="center"/>
          </w:tcPr>
          <w:p w14:paraId="1BE1EB25">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分值</w:t>
            </w:r>
          </w:p>
        </w:tc>
        <w:tc>
          <w:tcPr>
            <w:tcW w:w="1478" w:type="dxa"/>
            <w:tcBorders>
              <w:top w:val="single" w:color="auto" w:sz="8" w:space="0"/>
              <w:left w:val="dotted" w:color="auto" w:sz="4" w:space="0"/>
              <w:bottom w:val="dotted" w:color="auto" w:sz="4" w:space="0"/>
              <w:right w:val="dotted" w:color="auto" w:sz="4" w:space="0"/>
            </w:tcBorders>
            <w:noWrap/>
            <w:vAlign w:val="center"/>
          </w:tcPr>
          <w:p w14:paraId="5EDB56BD">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二级指标</w:t>
            </w:r>
          </w:p>
        </w:tc>
        <w:tc>
          <w:tcPr>
            <w:tcW w:w="3098" w:type="dxa"/>
            <w:tcBorders>
              <w:top w:val="single" w:color="auto" w:sz="8" w:space="0"/>
              <w:left w:val="dotted" w:color="auto" w:sz="4" w:space="0"/>
              <w:bottom w:val="dotted" w:color="auto" w:sz="4" w:space="0"/>
              <w:right w:val="dotted" w:color="auto" w:sz="4" w:space="0"/>
            </w:tcBorders>
            <w:noWrap/>
            <w:vAlign w:val="center"/>
          </w:tcPr>
          <w:p w14:paraId="508CFCC1">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三级指标</w:t>
            </w:r>
          </w:p>
        </w:tc>
        <w:tc>
          <w:tcPr>
            <w:tcW w:w="1122" w:type="dxa"/>
            <w:tcBorders>
              <w:top w:val="single" w:color="auto" w:sz="8" w:space="0"/>
              <w:left w:val="dotted" w:color="auto" w:sz="4" w:space="0"/>
              <w:bottom w:val="dotted" w:color="auto" w:sz="4" w:space="0"/>
              <w:right w:val="dotted" w:color="auto" w:sz="4" w:space="0"/>
            </w:tcBorders>
            <w:noWrap/>
            <w:vAlign w:val="center"/>
          </w:tcPr>
          <w:p w14:paraId="58402A5D">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分值</w:t>
            </w:r>
          </w:p>
        </w:tc>
        <w:tc>
          <w:tcPr>
            <w:tcW w:w="947" w:type="dxa"/>
            <w:tcBorders>
              <w:top w:val="single" w:color="auto" w:sz="8" w:space="0"/>
              <w:left w:val="dotted" w:color="auto" w:sz="4" w:space="0"/>
              <w:bottom w:val="dotted" w:color="auto" w:sz="4" w:space="0"/>
              <w:right w:val="nil"/>
            </w:tcBorders>
            <w:noWrap/>
            <w:vAlign w:val="center"/>
          </w:tcPr>
          <w:p w14:paraId="54D2C6B4">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得分</w:t>
            </w:r>
          </w:p>
        </w:tc>
      </w:tr>
      <w:tr w14:paraId="708E75DE">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restart"/>
            <w:tcBorders>
              <w:top w:val="dotted" w:color="auto" w:sz="4" w:space="0"/>
              <w:left w:val="nil"/>
              <w:right w:val="dotted" w:color="auto" w:sz="4" w:space="0"/>
            </w:tcBorders>
            <w:noWrap/>
            <w:vAlign w:val="center"/>
          </w:tcPr>
          <w:p w14:paraId="1550E985">
            <w:pPr>
              <w:rPr>
                <w:rFonts w:hint="eastAsia" w:ascii="仿宋" w:hAnsi="仿宋" w:eastAsia="仿宋" w:cs="仿宋"/>
                <w:sz w:val="24"/>
                <w:szCs w:val="24"/>
                <w:highlight w:val="none"/>
              </w:rPr>
            </w:pPr>
          </w:p>
        </w:tc>
        <w:tc>
          <w:tcPr>
            <w:tcW w:w="704" w:type="dxa"/>
            <w:vMerge w:val="restart"/>
            <w:tcBorders>
              <w:top w:val="dotted" w:color="auto" w:sz="4" w:space="0"/>
              <w:left w:val="dotted" w:color="auto" w:sz="4" w:space="0"/>
              <w:right w:val="dotted" w:color="auto" w:sz="4" w:space="0"/>
            </w:tcBorders>
            <w:noWrap/>
            <w:vAlign w:val="center"/>
          </w:tcPr>
          <w:p w14:paraId="1CBEC4D4">
            <w:pPr>
              <w:rPr>
                <w:rFonts w:hint="eastAsia" w:ascii="仿宋" w:hAnsi="仿宋" w:eastAsia="仿宋" w:cs="仿宋"/>
                <w:sz w:val="24"/>
                <w:szCs w:val="24"/>
                <w:highlight w:val="none"/>
              </w:rPr>
            </w:pPr>
          </w:p>
        </w:tc>
        <w:tc>
          <w:tcPr>
            <w:tcW w:w="1478" w:type="dxa"/>
            <w:vMerge w:val="restart"/>
            <w:tcBorders>
              <w:top w:val="dotted" w:color="auto" w:sz="4" w:space="0"/>
              <w:left w:val="dotted" w:color="auto" w:sz="4" w:space="0"/>
              <w:right w:val="dotted" w:color="auto" w:sz="4" w:space="0"/>
            </w:tcBorders>
            <w:noWrap w:val="0"/>
            <w:vAlign w:val="center"/>
          </w:tcPr>
          <w:p w14:paraId="4F6E0752">
            <w:pPr>
              <w:rPr>
                <w:rFonts w:hint="eastAsia" w:ascii="仿宋" w:hAnsi="仿宋" w:eastAsia="仿宋" w:cs="仿宋"/>
                <w:sz w:val="24"/>
                <w:szCs w:val="24"/>
                <w:highlight w:val="none"/>
              </w:rPr>
            </w:pPr>
          </w:p>
        </w:tc>
        <w:tc>
          <w:tcPr>
            <w:tcW w:w="3098" w:type="dxa"/>
            <w:tcBorders>
              <w:top w:val="dotted" w:color="auto" w:sz="4" w:space="0"/>
              <w:left w:val="dotted" w:color="auto" w:sz="4" w:space="0"/>
              <w:bottom w:val="dotted" w:color="auto" w:sz="4" w:space="0"/>
              <w:right w:val="dotted" w:color="auto" w:sz="4" w:space="0"/>
            </w:tcBorders>
            <w:noWrap/>
            <w:vAlign w:val="center"/>
          </w:tcPr>
          <w:p w14:paraId="71F358C3">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社会效益</w:t>
            </w:r>
          </w:p>
        </w:tc>
        <w:tc>
          <w:tcPr>
            <w:tcW w:w="1122" w:type="dxa"/>
            <w:tcBorders>
              <w:top w:val="dotted" w:color="auto" w:sz="4" w:space="0"/>
              <w:left w:val="dotted" w:color="auto" w:sz="4" w:space="0"/>
              <w:bottom w:val="dotted" w:color="auto" w:sz="4" w:space="0"/>
              <w:right w:val="dotted" w:color="auto" w:sz="4" w:space="0"/>
            </w:tcBorders>
            <w:noWrap/>
            <w:vAlign w:val="center"/>
          </w:tcPr>
          <w:p w14:paraId="4BB1106A">
            <w:pPr>
              <w:widowControl/>
              <w:autoSpaceDE w:val="0"/>
              <w:spacing w:line="240" w:lineRule="auto"/>
              <w:jc w:val="center"/>
              <w:textAlignment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8</w:t>
            </w:r>
          </w:p>
        </w:tc>
        <w:tc>
          <w:tcPr>
            <w:tcW w:w="947" w:type="dxa"/>
            <w:tcBorders>
              <w:top w:val="dotted" w:color="auto" w:sz="4" w:space="0"/>
              <w:left w:val="dotted" w:color="auto" w:sz="4" w:space="0"/>
              <w:bottom w:val="dotted" w:color="auto" w:sz="4" w:space="0"/>
              <w:right w:val="nil"/>
            </w:tcBorders>
            <w:noWrap/>
            <w:vAlign w:val="center"/>
          </w:tcPr>
          <w:p w14:paraId="47533417">
            <w:pPr>
              <w:widowControl/>
              <w:autoSpaceDE w:val="0"/>
              <w:spacing w:before="10" w:line="240" w:lineRule="auto"/>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p>
        </w:tc>
      </w:tr>
      <w:tr w14:paraId="5850B7CE">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62669746">
            <w:pPr>
              <w:rPr>
                <w:rFonts w:hint="eastAsia" w:ascii="仿宋" w:hAnsi="仿宋" w:eastAsia="仿宋" w:cs="仿宋"/>
                <w:sz w:val="24"/>
                <w:szCs w:val="24"/>
                <w:highlight w:val="none"/>
              </w:rPr>
            </w:pPr>
          </w:p>
        </w:tc>
        <w:tc>
          <w:tcPr>
            <w:tcW w:w="704" w:type="dxa"/>
            <w:vMerge w:val="continue"/>
            <w:tcBorders>
              <w:top w:val="dotted" w:color="auto" w:sz="4" w:space="0"/>
              <w:left w:val="dotted" w:color="auto" w:sz="4" w:space="0"/>
              <w:bottom w:val="dotted" w:color="auto" w:sz="4" w:space="0"/>
              <w:right w:val="dotted" w:color="auto" w:sz="4" w:space="0"/>
            </w:tcBorders>
            <w:noWrap/>
            <w:vAlign w:val="center"/>
          </w:tcPr>
          <w:p w14:paraId="0A11E798">
            <w:pPr>
              <w:rPr>
                <w:rFonts w:hint="eastAsia" w:ascii="仿宋" w:hAnsi="仿宋" w:eastAsia="仿宋" w:cs="仿宋"/>
                <w:sz w:val="24"/>
                <w:szCs w:val="24"/>
                <w:highlight w:val="none"/>
              </w:rPr>
            </w:pPr>
          </w:p>
        </w:tc>
        <w:tc>
          <w:tcPr>
            <w:tcW w:w="1478" w:type="dxa"/>
            <w:vMerge w:val="continue"/>
            <w:tcBorders>
              <w:top w:val="dotted" w:color="auto" w:sz="4" w:space="0"/>
              <w:left w:val="dotted" w:color="auto" w:sz="4" w:space="0"/>
              <w:bottom w:val="dotted" w:color="auto" w:sz="4" w:space="0"/>
              <w:right w:val="dotted" w:color="auto" w:sz="4" w:space="0"/>
            </w:tcBorders>
            <w:noWrap w:val="0"/>
            <w:vAlign w:val="center"/>
          </w:tcPr>
          <w:p w14:paraId="0B13FF42">
            <w:pPr>
              <w:rPr>
                <w:rFonts w:hint="eastAsia" w:ascii="仿宋" w:hAnsi="仿宋" w:eastAsia="仿宋" w:cs="仿宋"/>
                <w:sz w:val="24"/>
                <w:szCs w:val="24"/>
                <w:highlight w:val="none"/>
              </w:rPr>
            </w:pPr>
          </w:p>
        </w:tc>
        <w:tc>
          <w:tcPr>
            <w:tcW w:w="3098" w:type="dxa"/>
            <w:tcBorders>
              <w:top w:val="dotted" w:color="auto" w:sz="4" w:space="0"/>
              <w:left w:val="dotted" w:color="auto" w:sz="4" w:space="0"/>
              <w:bottom w:val="dotted" w:color="auto" w:sz="4" w:space="0"/>
              <w:right w:val="dotted" w:color="auto" w:sz="4" w:space="0"/>
            </w:tcBorders>
            <w:noWrap/>
            <w:vAlign w:val="center"/>
          </w:tcPr>
          <w:p w14:paraId="22D23030">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sz w:val="24"/>
                <w:szCs w:val="24"/>
                <w:highlight w:val="none"/>
                <w:lang w:eastAsia="zh-CN" w:bidi="ar"/>
              </w:rPr>
              <w:t>可持续影响</w:t>
            </w:r>
          </w:p>
        </w:tc>
        <w:tc>
          <w:tcPr>
            <w:tcW w:w="1122" w:type="dxa"/>
            <w:tcBorders>
              <w:top w:val="dotted" w:color="auto" w:sz="4" w:space="0"/>
              <w:left w:val="dotted" w:color="auto" w:sz="4" w:space="0"/>
              <w:bottom w:val="dotted" w:color="auto" w:sz="4" w:space="0"/>
              <w:right w:val="dotted" w:color="auto" w:sz="4" w:space="0"/>
            </w:tcBorders>
            <w:noWrap/>
            <w:vAlign w:val="center"/>
          </w:tcPr>
          <w:p w14:paraId="73326741">
            <w:pPr>
              <w:widowControl/>
              <w:autoSpaceDE w:val="0"/>
              <w:spacing w:line="240" w:lineRule="auto"/>
              <w:jc w:val="center"/>
              <w:textAlignment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7</w:t>
            </w:r>
          </w:p>
        </w:tc>
        <w:tc>
          <w:tcPr>
            <w:tcW w:w="947" w:type="dxa"/>
            <w:tcBorders>
              <w:top w:val="dotted" w:color="auto" w:sz="4" w:space="0"/>
              <w:left w:val="dotted" w:color="auto" w:sz="4" w:space="0"/>
              <w:bottom w:val="dotted" w:color="auto" w:sz="4" w:space="0"/>
              <w:right w:val="nil"/>
            </w:tcBorders>
            <w:noWrap/>
            <w:vAlign w:val="center"/>
          </w:tcPr>
          <w:p w14:paraId="0F934F9A">
            <w:pPr>
              <w:widowControl/>
              <w:autoSpaceDE w:val="0"/>
              <w:spacing w:before="10" w:line="240" w:lineRule="auto"/>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r>
      <w:tr w14:paraId="65198DA8">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33E76879">
            <w:pPr>
              <w:rPr>
                <w:rFonts w:hint="eastAsia" w:ascii="仿宋" w:hAnsi="仿宋" w:eastAsia="仿宋" w:cs="仿宋"/>
                <w:sz w:val="24"/>
                <w:szCs w:val="24"/>
                <w:highlight w:val="none"/>
              </w:rPr>
            </w:pPr>
          </w:p>
        </w:tc>
        <w:tc>
          <w:tcPr>
            <w:tcW w:w="704" w:type="dxa"/>
            <w:vMerge w:val="continue"/>
            <w:tcBorders>
              <w:top w:val="dotted" w:color="auto" w:sz="4" w:space="0"/>
              <w:left w:val="dotted" w:color="auto" w:sz="4" w:space="0"/>
              <w:bottom w:val="dotted" w:color="auto" w:sz="4" w:space="0"/>
              <w:right w:val="dotted" w:color="auto" w:sz="4" w:space="0"/>
            </w:tcBorders>
            <w:noWrap/>
            <w:vAlign w:val="center"/>
          </w:tcPr>
          <w:p w14:paraId="6AF9487E">
            <w:pPr>
              <w:rPr>
                <w:rFonts w:hint="eastAsia" w:ascii="仿宋" w:hAnsi="仿宋" w:eastAsia="仿宋" w:cs="仿宋"/>
                <w:sz w:val="24"/>
                <w:szCs w:val="24"/>
                <w:highlight w:val="none"/>
              </w:rPr>
            </w:pPr>
          </w:p>
        </w:tc>
        <w:tc>
          <w:tcPr>
            <w:tcW w:w="1478" w:type="dxa"/>
            <w:vMerge w:val="continue"/>
            <w:tcBorders>
              <w:top w:val="dotted" w:color="auto" w:sz="4" w:space="0"/>
              <w:left w:val="dotted" w:color="auto" w:sz="4" w:space="0"/>
              <w:bottom w:val="dotted" w:color="auto" w:sz="4" w:space="0"/>
              <w:right w:val="dotted" w:color="auto" w:sz="4" w:space="0"/>
            </w:tcBorders>
            <w:noWrap w:val="0"/>
            <w:vAlign w:val="center"/>
          </w:tcPr>
          <w:p w14:paraId="3B98D047">
            <w:pPr>
              <w:rPr>
                <w:rFonts w:hint="eastAsia" w:ascii="仿宋" w:hAnsi="仿宋" w:eastAsia="仿宋" w:cs="仿宋"/>
                <w:sz w:val="24"/>
                <w:szCs w:val="24"/>
                <w:highlight w:val="none"/>
              </w:rPr>
            </w:pPr>
          </w:p>
        </w:tc>
        <w:tc>
          <w:tcPr>
            <w:tcW w:w="3098" w:type="dxa"/>
            <w:tcBorders>
              <w:top w:val="dotted" w:color="auto" w:sz="4" w:space="0"/>
              <w:left w:val="dotted" w:color="auto" w:sz="4" w:space="0"/>
              <w:bottom w:val="dotted" w:color="auto" w:sz="4" w:space="0"/>
              <w:right w:val="dotted" w:color="auto" w:sz="4" w:space="0"/>
            </w:tcBorders>
            <w:noWrap/>
            <w:vAlign w:val="center"/>
          </w:tcPr>
          <w:p w14:paraId="2759A607">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社会公众或服务对象满意度</w:t>
            </w:r>
          </w:p>
        </w:tc>
        <w:tc>
          <w:tcPr>
            <w:tcW w:w="1122" w:type="dxa"/>
            <w:tcBorders>
              <w:top w:val="dotted" w:color="auto" w:sz="4" w:space="0"/>
              <w:left w:val="dotted" w:color="auto" w:sz="4" w:space="0"/>
              <w:bottom w:val="dotted" w:color="auto" w:sz="4" w:space="0"/>
              <w:right w:val="dotted" w:color="auto" w:sz="4" w:space="0"/>
            </w:tcBorders>
            <w:noWrap/>
            <w:vAlign w:val="center"/>
          </w:tcPr>
          <w:p w14:paraId="2FFB5331">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5</w:t>
            </w:r>
          </w:p>
        </w:tc>
        <w:tc>
          <w:tcPr>
            <w:tcW w:w="947" w:type="dxa"/>
            <w:tcBorders>
              <w:top w:val="dotted" w:color="auto" w:sz="4" w:space="0"/>
              <w:left w:val="dotted" w:color="auto" w:sz="4" w:space="0"/>
              <w:bottom w:val="dotted" w:color="auto" w:sz="4" w:space="0"/>
              <w:right w:val="nil"/>
            </w:tcBorders>
            <w:noWrap/>
            <w:vAlign w:val="center"/>
          </w:tcPr>
          <w:p w14:paraId="5F3822F6">
            <w:pPr>
              <w:widowControl/>
              <w:autoSpaceDE w:val="0"/>
              <w:spacing w:before="10" w:line="240" w:lineRule="auto"/>
              <w:jc w:val="center"/>
              <w:textAlignment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4.13</w:t>
            </w:r>
          </w:p>
        </w:tc>
      </w:tr>
      <w:tr w14:paraId="63D1C23E">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6526" w:type="dxa"/>
            <w:gridSpan w:val="4"/>
            <w:tcBorders>
              <w:top w:val="dotted" w:color="auto" w:sz="4" w:space="0"/>
              <w:left w:val="nil"/>
              <w:bottom w:val="single" w:color="auto" w:sz="8" w:space="0"/>
              <w:right w:val="dotted" w:color="auto" w:sz="4" w:space="0"/>
            </w:tcBorders>
            <w:noWrap/>
            <w:vAlign w:val="center"/>
          </w:tcPr>
          <w:p w14:paraId="7B2262EF">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b/>
                <w:bCs/>
                <w:color w:val="000000"/>
                <w:kern w:val="0"/>
                <w:sz w:val="24"/>
                <w:szCs w:val="24"/>
                <w:highlight w:val="none"/>
                <w:lang w:bidi="ar"/>
              </w:rPr>
              <w:t>合计</w:t>
            </w:r>
          </w:p>
        </w:tc>
        <w:tc>
          <w:tcPr>
            <w:tcW w:w="1122" w:type="dxa"/>
            <w:tcBorders>
              <w:top w:val="dotted" w:color="auto" w:sz="4" w:space="0"/>
              <w:left w:val="dotted" w:color="auto" w:sz="4" w:space="0"/>
              <w:bottom w:val="single" w:color="auto" w:sz="8" w:space="0"/>
              <w:right w:val="dotted" w:color="auto" w:sz="4" w:space="0"/>
            </w:tcBorders>
            <w:noWrap/>
            <w:vAlign w:val="center"/>
          </w:tcPr>
          <w:p w14:paraId="014AB92C">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b/>
                <w:bCs/>
                <w:color w:val="000000"/>
                <w:kern w:val="0"/>
                <w:sz w:val="24"/>
                <w:szCs w:val="24"/>
                <w:highlight w:val="none"/>
                <w:lang w:bidi="ar"/>
              </w:rPr>
              <w:t>20</w:t>
            </w:r>
          </w:p>
        </w:tc>
        <w:tc>
          <w:tcPr>
            <w:tcW w:w="947" w:type="dxa"/>
            <w:tcBorders>
              <w:top w:val="dotted" w:color="auto" w:sz="4" w:space="0"/>
              <w:left w:val="dotted" w:color="auto" w:sz="4" w:space="0"/>
              <w:bottom w:val="single" w:color="auto" w:sz="8" w:space="0"/>
              <w:right w:val="nil"/>
            </w:tcBorders>
            <w:noWrap/>
            <w:vAlign w:val="center"/>
          </w:tcPr>
          <w:p w14:paraId="78915165">
            <w:pPr>
              <w:widowControl/>
              <w:autoSpaceDE w:val="0"/>
              <w:spacing w:before="10" w:line="240" w:lineRule="auto"/>
              <w:jc w:val="center"/>
              <w:textAlignment w:val="center"/>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17.13</w:t>
            </w:r>
          </w:p>
        </w:tc>
      </w:tr>
    </w:tbl>
    <w:p w14:paraId="3F1BB54B">
      <w:pPr>
        <w:pStyle w:val="9"/>
        <w:keepNext w:val="0"/>
        <w:keepLines w:val="0"/>
        <w:pageBreakBefore w:val="0"/>
        <w:widowControl/>
        <w:kinsoku/>
        <w:wordWrap/>
        <w:overflowPunct/>
        <w:topLinePunct w:val="0"/>
        <w:autoSpaceDE w:val="0"/>
        <w:autoSpaceDN/>
        <w:bidi w:val="0"/>
        <w:adjustRightInd/>
        <w:snapToGrid/>
        <w:spacing w:before="0" w:beforeLines="0" w:beforeAutospacing="0" w:after="0" w:afterLines="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lang w:val="en-US" w:eastAsia="zh-CN" w:bidi="ar"/>
        </w:rPr>
        <w:t>1</w:t>
      </w:r>
      <w:r>
        <w:rPr>
          <w:rFonts w:hint="eastAsia" w:ascii="仿宋" w:hAnsi="仿宋" w:eastAsia="仿宋" w:cs="仿宋"/>
          <w:sz w:val="32"/>
          <w:szCs w:val="32"/>
          <w:highlight w:val="none"/>
          <w:lang w:bidi="ar"/>
        </w:rPr>
        <w:t>）社会效益</w:t>
      </w:r>
    </w:p>
    <w:p w14:paraId="7F54F694">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40" w:firstLineChars="200"/>
        <w:textAlignment w:val="auto"/>
        <w:rPr>
          <w:rFonts w:hint="eastAsia" w:ascii="仿宋" w:hAnsi="仿宋" w:eastAsia="仿宋" w:cs="仿宋"/>
          <w:sz w:val="32"/>
          <w:szCs w:val="32"/>
          <w:highlight w:val="none"/>
          <w:lang w:val="en-US" w:eastAsia="zh-CN" w:bidi="ar"/>
        </w:rPr>
      </w:pPr>
      <w:r>
        <w:rPr>
          <w:rFonts w:hint="eastAsia" w:ascii="仿宋" w:hAnsi="仿宋" w:eastAsia="仿宋" w:cs="仿宋"/>
          <w:sz w:val="32"/>
          <w:szCs w:val="32"/>
          <w:highlight w:val="none"/>
          <w:lang w:bidi="ar"/>
        </w:rPr>
        <w:t>2023年</w:t>
      </w:r>
      <w:r>
        <w:rPr>
          <w:rFonts w:hint="eastAsia" w:ascii="仿宋" w:hAnsi="仿宋" w:eastAsia="仿宋" w:cs="仿宋"/>
          <w:b w:val="0"/>
          <w:bCs w:val="0"/>
          <w:i w:val="0"/>
          <w:iCs w:val="0"/>
          <w:caps w:val="0"/>
          <w:color w:val="000000"/>
          <w:spacing w:val="0"/>
          <w:kern w:val="0"/>
          <w:sz w:val="32"/>
          <w:szCs w:val="32"/>
          <w:lang w:val="en-US" w:eastAsia="zh-CN"/>
        </w:rPr>
        <w:t>市消防支队</w:t>
      </w:r>
      <w:r>
        <w:rPr>
          <w:rFonts w:hint="eastAsia" w:ascii="仿宋" w:hAnsi="仿宋" w:eastAsia="仿宋" w:cs="仿宋"/>
          <w:sz w:val="32"/>
          <w:szCs w:val="32"/>
          <w:highlight w:val="none"/>
          <w:lang w:bidi="ar"/>
        </w:rPr>
        <w:t>履行部门相关职责，</w:t>
      </w:r>
      <w:r>
        <w:rPr>
          <w:rFonts w:hint="eastAsia" w:ascii="仿宋" w:hAnsi="仿宋" w:eastAsia="仿宋" w:cs="仿宋"/>
          <w:sz w:val="32"/>
          <w:szCs w:val="32"/>
          <w:highlight w:val="none"/>
          <w:lang w:eastAsia="zh-CN" w:bidi="ar"/>
        </w:rPr>
        <w:t>支队全年共接警771起，出动车辆1073辆次，人员4688人次，抢救被困人员77人，疏散被困人员56人，圆满完成了西藏消防雪崩救援史上掩埋路面最长、施救难度最大、被困车辆和人员最多的“1·17”多雄拉隧道口雪崩事故救援，成功处置“3·16”“5·13”两次帮辛乡车辆坠崖、“6·28”措木及日景区森林火情和“11·26”YK区越线火情，顺利实现“全国两会”“林芝市第二十届桃花旅游文化节”“重要领导来林调研”“第三届中国西藏环喜马拉雅国际合作论坛”“2023第四届跨喜马拉雅国际公路自行车极限赛”“雅鲁藏布江生态旅游文化节”等重大消防安保期间“零冒烟、零失火”。全市消防救援队伍有效防范化解安全风险，积极应对处置各类灾害事故，救民于水火、助民于危难，得到了各级党委、政府的高度肯定和人民群众的一致赞扬。支队荣获“全国消防安全专项整治三年行动工作”先进支队，3个集体、4名个人分别荣获“西藏自治区区（中）直单位先进党支部”“西藏自治区三八红旗手标兵”“林芝市民族团结进步模范单位”“林芝青年五四奖章”等表彰。支队比武集训队在2023年全区实战化大练兵比武竞赛中取得国家队团体第一名、政府专职队团体第三名优异成绩</w:t>
      </w:r>
      <w:r>
        <w:rPr>
          <w:rFonts w:hint="eastAsia" w:ascii="仿宋" w:hAnsi="仿宋" w:eastAsia="仿宋" w:cs="仿宋"/>
          <w:sz w:val="32"/>
          <w:szCs w:val="32"/>
          <w:highlight w:val="none"/>
          <w:lang w:val="en-US" w:eastAsia="zh-CN" w:bidi="ar"/>
        </w:rPr>
        <w:t>。</w:t>
      </w:r>
      <w:r>
        <w:rPr>
          <w:rFonts w:hint="eastAsia" w:ascii="仿宋" w:hAnsi="仿宋" w:eastAsia="仿宋" w:cs="仿宋"/>
          <w:color w:val="000000"/>
          <w:sz w:val="32"/>
          <w:szCs w:val="32"/>
          <w:highlight w:val="none"/>
          <w:shd w:val="clear" w:color="auto" w:fill="auto"/>
          <w:lang w:val="en-US" w:eastAsia="zh-CN" w:bidi="ar"/>
        </w:rPr>
        <w:t>社会效益较显著。本项</w:t>
      </w:r>
      <w:r>
        <w:rPr>
          <w:rFonts w:hint="eastAsia" w:ascii="仿宋" w:hAnsi="仿宋" w:eastAsia="仿宋" w:cs="仿宋"/>
          <w:sz w:val="32"/>
          <w:szCs w:val="32"/>
          <w:highlight w:val="none"/>
          <w:lang w:val="en-US" w:eastAsia="zh-CN" w:bidi="ar"/>
        </w:rPr>
        <w:t>满分8分，扣0分，实际得分8分。</w:t>
      </w:r>
    </w:p>
    <w:p w14:paraId="5B4B6E51">
      <w:pPr>
        <w:pStyle w:val="9"/>
        <w:keepNext w:val="0"/>
        <w:keepLines w:val="0"/>
        <w:pageBreakBefore w:val="0"/>
        <w:widowControl/>
        <w:kinsoku/>
        <w:wordWrap/>
        <w:overflowPunct/>
        <w:topLinePunct w:val="0"/>
        <w:autoSpaceDE/>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lang w:val="en-US" w:eastAsia="zh-CN" w:bidi="ar"/>
        </w:rPr>
        <w:t>2</w:t>
      </w:r>
      <w:r>
        <w:rPr>
          <w:rFonts w:hint="eastAsia" w:ascii="仿宋" w:hAnsi="仿宋" w:eastAsia="仿宋" w:cs="仿宋"/>
          <w:sz w:val="32"/>
          <w:szCs w:val="32"/>
          <w:highlight w:val="none"/>
          <w:lang w:bidi="ar"/>
        </w:rPr>
        <w:t>）可持续影响或生态效益</w:t>
      </w:r>
    </w:p>
    <w:p w14:paraId="36D7D6A6">
      <w:pPr>
        <w:pStyle w:val="9"/>
        <w:keepNext w:val="0"/>
        <w:keepLines w:val="0"/>
        <w:pageBreakBefore w:val="0"/>
        <w:widowControl/>
        <w:kinsoku/>
        <w:wordWrap/>
        <w:overflowPunct/>
        <w:topLinePunct w:val="0"/>
        <w:autoSpaceDE/>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bidi="ar"/>
        </w:rPr>
      </w:pPr>
      <w:r>
        <w:rPr>
          <w:rFonts w:hint="eastAsia" w:ascii="仿宋" w:hAnsi="仿宋" w:eastAsia="仿宋" w:cs="仿宋"/>
          <w:sz w:val="32"/>
          <w:szCs w:val="32"/>
          <w:highlight w:val="none"/>
          <w:lang w:eastAsia="zh-CN" w:bidi="ar"/>
        </w:rPr>
        <w:t>支队在全区率先出台《林芝市公共消防设施管理办法》，争取资金386万元推动老旧城区消防车道治理和消火栓建设工作，新建消火栓37处、维修消防栓11个；健全基层应急消防组织架构，实体化运行“一委一队一所”体系，在全市建立了56个乡镇（街道）消防安全委员会和56个消防工作所，并组织召开全市公安消防工作会议，将全市便民警务站、边境管理派出所、乡镇网格、区域联防组织等基层人员纳入监管力量，实现基层消防工作监督全覆盖；与边境县边境管理大队展开合作，打造5个行政村、2个边境警务室基层边境消防安全治理示范村及2处消防标准化管理旅游景区示范单位</w:t>
      </w:r>
      <w:r>
        <w:rPr>
          <w:rFonts w:hint="eastAsia" w:ascii="仿宋" w:hAnsi="仿宋" w:eastAsia="仿宋" w:cs="仿宋"/>
          <w:sz w:val="32"/>
          <w:szCs w:val="32"/>
          <w:highlight w:val="none"/>
          <w:lang w:val="en-US" w:eastAsia="zh-CN" w:bidi="ar"/>
        </w:rPr>
        <w:t>。</w:t>
      </w:r>
      <w:r>
        <w:rPr>
          <w:rFonts w:hint="eastAsia" w:ascii="仿宋" w:hAnsi="仿宋" w:eastAsia="仿宋" w:cs="仿宋"/>
          <w:sz w:val="32"/>
          <w:szCs w:val="32"/>
          <w:highlight w:val="none"/>
          <w:lang w:eastAsia="zh-CN" w:bidi="ar"/>
        </w:rPr>
        <w:t>可持续影响</w:t>
      </w:r>
      <w:r>
        <w:rPr>
          <w:rFonts w:hint="eastAsia" w:ascii="仿宋" w:hAnsi="仿宋" w:eastAsia="仿宋" w:cs="仿宋"/>
          <w:sz w:val="32"/>
          <w:szCs w:val="32"/>
          <w:highlight w:val="none"/>
          <w:lang w:val="en-US" w:eastAsia="zh-CN" w:bidi="ar"/>
        </w:rPr>
        <w:t>较显著，本项满分7分，扣2分，实际得分5分。</w:t>
      </w:r>
    </w:p>
    <w:p w14:paraId="51D4179C">
      <w:pPr>
        <w:pStyle w:val="9"/>
        <w:keepNext w:val="0"/>
        <w:keepLines w:val="0"/>
        <w:pageBreakBefore w:val="0"/>
        <w:widowControl/>
        <w:kinsoku/>
        <w:wordWrap/>
        <w:overflowPunct/>
        <w:topLinePunct w:val="0"/>
        <w:autoSpaceDE/>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（3）社会公众或服务对象满意度</w:t>
      </w:r>
    </w:p>
    <w:p w14:paraId="5273C400">
      <w:pPr>
        <w:pStyle w:val="9"/>
        <w:keepNext w:val="0"/>
        <w:keepLines w:val="0"/>
        <w:pageBreakBefore w:val="0"/>
        <w:widowControl/>
        <w:kinsoku/>
        <w:wordWrap/>
        <w:overflowPunct/>
        <w:topLinePunct w:val="0"/>
        <w:autoSpaceDE/>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bidi="ar"/>
        </w:rPr>
      </w:pPr>
      <w:r>
        <w:rPr>
          <w:rFonts w:hint="eastAsia" w:ascii="仿宋" w:hAnsi="仿宋" w:eastAsia="仿宋" w:cs="仿宋"/>
          <w:sz w:val="32"/>
          <w:szCs w:val="32"/>
          <w:highlight w:val="none"/>
          <w:lang w:val="en-US" w:eastAsia="zh-CN" w:bidi="ar"/>
        </w:rPr>
        <w:t>经统计，2023年</w:t>
      </w:r>
      <w:r>
        <w:rPr>
          <w:rFonts w:hint="eastAsia" w:ascii="仿宋" w:hAnsi="仿宋" w:eastAsia="仿宋" w:cs="仿宋"/>
          <w:b w:val="0"/>
          <w:bCs w:val="0"/>
          <w:i w:val="0"/>
          <w:iCs w:val="0"/>
          <w:caps w:val="0"/>
          <w:color w:val="000000"/>
          <w:spacing w:val="0"/>
          <w:kern w:val="0"/>
          <w:sz w:val="32"/>
          <w:szCs w:val="32"/>
          <w:lang w:val="en-US" w:eastAsia="zh-CN"/>
        </w:rPr>
        <w:t>市消防支队</w:t>
      </w:r>
      <w:r>
        <w:rPr>
          <w:rFonts w:hint="eastAsia" w:ascii="仿宋" w:hAnsi="仿宋" w:eastAsia="仿宋" w:cs="仿宋"/>
          <w:sz w:val="32"/>
          <w:szCs w:val="32"/>
          <w:highlight w:val="none"/>
          <w:lang w:val="en-US" w:eastAsia="zh-CN" w:bidi="ar"/>
        </w:rPr>
        <w:t>社会满意度调查问卷显示满意度为82.60%。满分5分，扣0.87分，实际得分4.13分。</w:t>
      </w:r>
    </w:p>
    <w:p w14:paraId="65F87F8C">
      <w:pPr>
        <w:pStyle w:val="2"/>
        <w:keepNext w:val="0"/>
        <w:keepLines w:val="0"/>
        <w:pageBreakBefore w:val="0"/>
        <w:numPr>
          <w:ilvl w:val="0"/>
          <w:numId w:val="2"/>
        </w:numPr>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color w:val="000000"/>
          <w:kern w:val="0"/>
          <w:sz w:val="32"/>
          <w:szCs w:val="32"/>
          <w:highlight w:val="none"/>
          <w:lang w:val="en-US" w:eastAsia="zh-CN" w:bidi="ar"/>
        </w:rPr>
      </w:pPr>
      <w:bookmarkStart w:id="27" w:name="_Toc18553"/>
      <w:r>
        <w:rPr>
          <w:rFonts w:hint="eastAsia" w:ascii="仿宋" w:hAnsi="仿宋" w:eastAsia="仿宋" w:cs="仿宋"/>
          <w:b/>
          <w:sz w:val="32"/>
          <w:szCs w:val="32"/>
          <w:highlight w:val="none"/>
        </w:rPr>
        <w:t>主要问题分析</w:t>
      </w:r>
      <w:bookmarkEnd w:id="27"/>
    </w:p>
    <w:p w14:paraId="560C7B41">
      <w:pPr>
        <w:keepNext w:val="0"/>
        <w:keepLines w:val="0"/>
        <w:pageBreakBefore w:val="0"/>
        <w:widowControl w:val="0"/>
        <w:tabs>
          <w:tab w:val="left" w:pos="360"/>
        </w:tabs>
        <w:kinsoku/>
        <w:wordWrap/>
        <w:overflowPunct/>
        <w:topLinePunct w:val="0"/>
        <w:autoSpaceDE w:val="0"/>
        <w:autoSpaceDN/>
        <w:bidi w:val="0"/>
        <w:adjustRightInd/>
        <w:snapToGrid/>
        <w:ind w:firstLine="640" w:firstLineChars="200"/>
        <w:jc w:val="left"/>
        <w:textAlignment w:val="auto"/>
        <w:outlineLvl w:val="1"/>
        <w:rPr>
          <w:rFonts w:hint="eastAsia" w:ascii="仿宋" w:hAnsi="仿宋" w:eastAsia="仿宋" w:cs="仿宋"/>
          <w:color w:val="000000"/>
          <w:kern w:val="0"/>
          <w:sz w:val="32"/>
          <w:szCs w:val="32"/>
          <w:highlight w:val="none"/>
          <w:lang w:val="en-US" w:eastAsia="zh-CN" w:bidi="ar"/>
        </w:rPr>
      </w:pPr>
      <w:bookmarkStart w:id="28" w:name="_Toc12536"/>
      <w:r>
        <w:rPr>
          <w:rFonts w:hint="eastAsia" w:ascii="仿宋" w:hAnsi="仿宋" w:eastAsia="仿宋" w:cs="仿宋"/>
          <w:color w:val="000000"/>
          <w:kern w:val="0"/>
          <w:sz w:val="32"/>
          <w:szCs w:val="32"/>
          <w:highlight w:val="none"/>
          <w:lang w:val="en-US" w:eastAsia="zh-CN" w:bidi="ar"/>
        </w:rPr>
        <w:t>（一）预算管理方面</w:t>
      </w:r>
      <w:bookmarkEnd w:id="28"/>
    </w:p>
    <w:p w14:paraId="60DB56A6">
      <w:pPr>
        <w:keepNext w:val="0"/>
        <w:keepLines w:val="0"/>
        <w:pageBreakBefore w:val="0"/>
        <w:widowControl w:val="0"/>
        <w:numPr>
          <w:ilvl w:val="0"/>
          <w:numId w:val="0"/>
        </w:numPr>
        <w:kinsoku/>
        <w:wordWrap/>
        <w:overflowPunct/>
        <w:topLinePunct w:val="0"/>
        <w:autoSpaceDE/>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color w:val="000000"/>
          <w:kern w:val="0"/>
          <w:sz w:val="32"/>
          <w:szCs w:val="32"/>
          <w:highlight w:val="none"/>
          <w:lang w:val="en-US" w:eastAsia="zh-CN" w:bidi="ar"/>
        </w:rPr>
      </w:pPr>
      <w:r>
        <w:rPr>
          <w:rFonts w:hint="eastAsia" w:ascii="仿宋" w:hAnsi="仿宋" w:eastAsia="仿宋" w:cs="仿宋"/>
          <w:b w:val="0"/>
          <w:bCs w:val="0"/>
          <w:i w:val="0"/>
          <w:iCs w:val="0"/>
          <w:caps w:val="0"/>
          <w:color w:val="000000"/>
          <w:spacing w:val="0"/>
          <w:kern w:val="0"/>
          <w:sz w:val="32"/>
          <w:szCs w:val="32"/>
          <w:lang w:val="en-US" w:eastAsia="zh-CN"/>
        </w:rPr>
        <w:t>市消防支队</w:t>
      </w:r>
      <w:r>
        <w:rPr>
          <w:rFonts w:hint="eastAsia" w:ascii="仿宋" w:hAnsi="仿宋" w:eastAsia="仿宋" w:cs="仿宋"/>
          <w:color w:val="000000"/>
          <w:kern w:val="0"/>
          <w:sz w:val="32"/>
          <w:szCs w:val="32"/>
          <w:highlight w:val="none"/>
          <w:lang w:val="en-US" w:eastAsia="zh-CN" w:bidi="ar"/>
        </w:rPr>
        <w:t>的</w:t>
      </w:r>
      <w:r>
        <w:rPr>
          <w:rFonts w:hint="eastAsia" w:ascii="仿宋" w:hAnsi="仿宋" w:eastAsia="仿宋" w:cs="仿宋"/>
          <w:b w:val="0"/>
          <w:bCs/>
          <w:color w:val="auto"/>
          <w:kern w:val="2"/>
          <w:sz w:val="32"/>
          <w:szCs w:val="32"/>
          <w:highlight w:val="none"/>
          <w:lang w:val="en-US" w:eastAsia="zh-CN" w:bidi="ar"/>
        </w:rPr>
        <w:t>预算完成</w:t>
      </w:r>
      <w:r>
        <w:rPr>
          <w:rFonts w:hint="eastAsia" w:ascii="仿宋" w:hAnsi="仿宋" w:eastAsia="仿宋" w:cs="仿宋"/>
          <w:color w:val="000000"/>
          <w:kern w:val="0"/>
          <w:sz w:val="32"/>
          <w:szCs w:val="32"/>
          <w:highlight w:val="none"/>
          <w:lang w:val="en-US" w:eastAsia="zh-CN" w:bidi="ar"/>
        </w:rPr>
        <w:t>率为46.54%，</w:t>
      </w:r>
      <w:r>
        <w:rPr>
          <w:rFonts w:hint="eastAsia" w:ascii="仿宋" w:hAnsi="仿宋" w:eastAsia="仿宋" w:cs="仿宋"/>
          <w:b w:val="0"/>
          <w:bCs/>
          <w:color w:val="auto"/>
          <w:kern w:val="2"/>
          <w:sz w:val="32"/>
          <w:szCs w:val="32"/>
          <w:highlight w:val="none"/>
          <w:lang w:val="en-US" w:eastAsia="zh-CN" w:bidi="ar"/>
        </w:rPr>
        <w:t>预算完成率低；</w:t>
      </w:r>
      <w:r>
        <w:rPr>
          <w:rFonts w:hint="eastAsia" w:ascii="仿宋" w:hAnsi="仿宋" w:eastAsia="仿宋" w:cs="仿宋"/>
          <w:color w:val="000000"/>
          <w:kern w:val="0"/>
          <w:sz w:val="32"/>
          <w:szCs w:val="32"/>
          <w:highlight w:val="none"/>
          <w:lang w:val="en-US" w:eastAsia="zh-CN" w:bidi="ar"/>
        </w:rPr>
        <w:t>预算调整率58.75%，预算调整率高；结转结余率53.46%，结转结余率高；结转结余变动率为6,440.19%，结转结余变动过高。</w:t>
      </w:r>
    </w:p>
    <w:p w14:paraId="7AE5BD37">
      <w:pPr>
        <w:pStyle w:val="2"/>
        <w:keepNext w:val="0"/>
        <w:keepLines w:val="0"/>
        <w:pageBreakBefore w:val="0"/>
        <w:numPr>
          <w:ilvl w:val="0"/>
          <w:numId w:val="2"/>
        </w:numPr>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sz w:val="32"/>
          <w:szCs w:val="32"/>
          <w:highlight w:val="none"/>
        </w:rPr>
      </w:pPr>
      <w:bookmarkStart w:id="29" w:name="_Toc30547"/>
      <w:r>
        <w:rPr>
          <w:rFonts w:hint="eastAsia" w:ascii="仿宋" w:hAnsi="仿宋" w:eastAsia="仿宋" w:cs="仿宋"/>
          <w:b/>
          <w:sz w:val="32"/>
          <w:szCs w:val="32"/>
          <w:highlight w:val="none"/>
        </w:rPr>
        <w:t>相关建议</w:t>
      </w:r>
      <w:bookmarkEnd w:id="29"/>
    </w:p>
    <w:p w14:paraId="5E8878D5">
      <w:pPr>
        <w:pStyle w:val="9"/>
        <w:keepNext w:val="0"/>
        <w:keepLines w:val="0"/>
        <w:pageBreakBefore w:val="0"/>
        <w:widowControl/>
        <w:numPr>
          <w:ilvl w:val="0"/>
          <w:numId w:val="3"/>
        </w:numPr>
        <w:kinsoku/>
        <w:wordWrap/>
        <w:overflowPunct/>
        <w:topLinePunct w:val="0"/>
        <w:autoSpaceDE/>
        <w:autoSpaceDN/>
        <w:bidi w:val="0"/>
        <w:adjustRightInd/>
        <w:snapToGrid/>
        <w:spacing w:before="165" w:beforeLines="50" w:beforeAutospacing="0" w:after="165" w:afterLines="50" w:afterAutospacing="0" w:line="360" w:lineRule="auto"/>
        <w:ind w:firstLine="640" w:firstLineChars="200"/>
        <w:textAlignment w:val="auto"/>
        <w:outlineLvl w:val="1"/>
        <w:rPr>
          <w:rFonts w:hint="eastAsia" w:ascii="仿宋" w:hAnsi="仿宋" w:eastAsia="仿宋" w:cs="仿宋"/>
          <w:sz w:val="32"/>
          <w:szCs w:val="32"/>
          <w:highlight w:val="none"/>
          <w:lang w:val="en-US" w:eastAsia="zh-CN" w:bidi="ar"/>
        </w:rPr>
      </w:pPr>
      <w:bookmarkStart w:id="30" w:name="_Toc25963"/>
      <w:r>
        <w:rPr>
          <w:rFonts w:hint="eastAsia" w:ascii="仿宋" w:hAnsi="仿宋" w:eastAsia="仿宋" w:cs="仿宋"/>
          <w:sz w:val="32"/>
          <w:szCs w:val="32"/>
          <w:highlight w:val="none"/>
          <w:lang w:val="en-US" w:eastAsia="zh-CN" w:bidi="ar"/>
        </w:rPr>
        <w:t>预算管理方面</w:t>
      </w:r>
      <w:bookmarkEnd w:id="30"/>
    </w:p>
    <w:p w14:paraId="5536C89A">
      <w:pPr>
        <w:pStyle w:val="9"/>
        <w:keepNext w:val="0"/>
        <w:keepLines w:val="0"/>
        <w:pageBreakBefore w:val="0"/>
        <w:numPr>
          <w:ilvl w:val="0"/>
          <w:numId w:val="0"/>
        </w:numPr>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bidi="ar"/>
        </w:rPr>
      </w:pPr>
      <w:r>
        <w:rPr>
          <w:rFonts w:hint="eastAsia" w:ascii="仿宋" w:hAnsi="仿宋" w:eastAsia="仿宋" w:cs="仿宋"/>
          <w:sz w:val="32"/>
          <w:szCs w:val="32"/>
          <w:highlight w:val="none"/>
          <w:lang w:val="en-US" w:eastAsia="zh-CN" w:bidi="ar"/>
        </w:rPr>
        <w:t>定期分析汇总预算执行情况，及时发现预算执行中的问题，并采取措施加以解决。加强单位财务内控管理，对执行不规范等问题及时采取整改措施，提高预算执行的合规性。单位应依据职能、年度工作计划，结合上年度决算情况，科学、合理地编制本年度预算。准确测算项目预算情况，减少预算调整事项的发生。单位领导及预算编制人员应严肃对待预算工作，充分认识到预算编制的重要性，避免随意性和主观性。认真执行预算法等法律法规，严格按照预算编制程序进行，细化预算收支项目，提高预算编制的完整性、科学性和规范性。</w:t>
      </w:r>
    </w:p>
    <w:p w14:paraId="322DEFED">
      <w:pPr>
        <w:pStyle w:val="2"/>
        <w:keepNext w:val="0"/>
        <w:keepLines w:val="0"/>
        <w:pageBreakBefore w:val="0"/>
        <w:numPr>
          <w:ilvl w:val="0"/>
          <w:numId w:val="2"/>
        </w:numPr>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bookmarkStart w:id="31" w:name="_Toc21919"/>
      <w:r>
        <w:rPr>
          <w:rFonts w:hint="eastAsia" w:ascii="仿宋" w:hAnsi="仿宋" w:eastAsia="仿宋" w:cs="仿宋"/>
          <w:b/>
          <w:bCs/>
          <w:sz w:val="32"/>
          <w:szCs w:val="32"/>
          <w:highlight w:val="none"/>
          <w:lang w:val="en-US" w:eastAsia="zh-CN"/>
        </w:rPr>
        <w:t>其他需要说明的问题</w:t>
      </w:r>
      <w:bookmarkEnd w:id="31"/>
    </w:p>
    <w:p w14:paraId="484BD036">
      <w:pPr>
        <w:pStyle w:val="9"/>
        <w:keepNext w:val="0"/>
        <w:keepLines w:val="0"/>
        <w:pageBreakBefore w:val="0"/>
        <w:numPr>
          <w:ilvl w:val="0"/>
          <w:numId w:val="4"/>
        </w:numPr>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b w:val="0"/>
          <w:bCs w:val="0"/>
          <w:sz w:val="32"/>
          <w:szCs w:val="32"/>
          <w:highlight w:val="none"/>
          <w:lang w:val="en-US" w:eastAsia="zh-CN" w:bidi="ar"/>
        </w:rPr>
      </w:pPr>
      <w:r>
        <w:rPr>
          <w:rFonts w:hint="eastAsia" w:ascii="仿宋" w:hAnsi="仿宋" w:eastAsia="仿宋" w:cs="仿宋"/>
          <w:b w:val="0"/>
          <w:bCs w:val="0"/>
          <w:sz w:val="32"/>
          <w:szCs w:val="32"/>
          <w:highlight w:val="none"/>
          <w:lang w:val="en-US" w:eastAsia="zh-CN" w:bidi="ar"/>
        </w:rPr>
        <w:t>关于评价结果的说明</w:t>
      </w:r>
    </w:p>
    <w:p w14:paraId="2BE45132">
      <w:pPr>
        <w:pStyle w:val="9"/>
        <w:autoSpaceDE/>
        <w:spacing w:before="165" w:beforeLines="50" w:beforeAutospacing="0" w:after="165" w:afterLines="50" w:afterAutospacing="0" w:line="360" w:lineRule="auto"/>
        <w:ind w:firstLine="640" w:firstLineChars="200"/>
        <w:rPr>
          <w:rFonts w:hint="eastAsia" w:ascii="仿宋" w:hAnsi="仿宋" w:eastAsia="仿宋" w:cs="仿宋"/>
          <w:b w:val="0"/>
          <w:bCs w:val="0"/>
          <w:sz w:val="32"/>
          <w:szCs w:val="32"/>
          <w:highlight w:val="none"/>
          <w:lang w:val="en-US" w:eastAsia="zh-CN" w:bidi="ar"/>
        </w:rPr>
      </w:pPr>
      <w:r>
        <w:rPr>
          <w:rFonts w:hint="eastAsia" w:ascii="仿宋" w:hAnsi="仿宋" w:eastAsia="仿宋" w:cs="仿宋"/>
          <w:b w:val="0"/>
          <w:bCs w:val="0"/>
          <w:sz w:val="32"/>
          <w:szCs w:val="32"/>
          <w:highlight w:val="none"/>
          <w:lang w:val="en-US" w:eastAsia="zh-CN" w:bidi="ar"/>
        </w:rPr>
        <w:t>部门评价的结果受限于提供资料的全面性和准确性，评价小组仅能依据提供的现有的资料，结合职业判断给出评价的结果。绩效评价指标体系中部分指标评价采用抽样核查的结果，评价结果与实际可能存在偏差。</w:t>
      </w:r>
    </w:p>
    <w:p w14:paraId="06A6D74E">
      <w:pPr>
        <w:pStyle w:val="9"/>
        <w:numPr>
          <w:ilvl w:val="0"/>
          <w:numId w:val="4"/>
        </w:numPr>
        <w:autoSpaceDE/>
        <w:spacing w:before="165" w:beforeLines="50" w:beforeAutospacing="0" w:after="165" w:afterLines="50" w:afterAutospacing="0" w:line="360" w:lineRule="auto"/>
        <w:ind w:firstLine="640" w:firstLineChars="200"/>
        <w:rPr>
          <w:rFonts w:hint="eastAsia" w:ascii="仿宋" w:hAnsi="仿宋" w:eastAsia="仿宋" w:cs="仿宋"/>
          <w:b w:val="0"/>
          <w:bCs w:val="0"/>
          <w:sz w:val="32"/>
          <w:szCs w:val="32"/>
          <w:highlight w:val="none"/>
          <w:lang w:val="en-US" w:eastAsia="zh-CN" w:bidi="ar"/>
        </w:rPr>
      </w:pPr>
      <w:r>
        <w:rPr>
          <w:rFonts w:hint="eastAsia" w:ascii="仿宋" w:hAnsi="仿宋" w:eastAsia="仿宋" w:cs="仿宋"/>
          <w:b w:val="0"/>
          <w:bCs w:val="0"/>
          <w:sz w:val="32"/>
          <w:szCs w:val="32"/>
          <w:highlight w:val="none"/>
          <w:lang w:val="en-US" w:eastAsia="zh-CN" w:bidi="ar"/>
        </w:rPr>
        <w:t>关于报告使用的说明</w:t>
      </w:r>
    </w:p>
    <w:p w14:paraId="60BE7F7A">
      <w:pPr>
        <w:pStyle w:val="9"/>
        <w:keepNext w:val="0"/>
        <w:keepLines w:val="0"/>
        <w:pageBreakBefore w:val="0"/>
        <w:kinsoku/>
        <w:wordWrap/>
        <w:overflowPunct/>
        <w:topLinePunct w:val="0"/>
        <w:autoSpaceDE/>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b/>
          <w:bCs/>
          <w:sz w:val="32"/>
          <w:szCs w:val="32"/>
          <w:highlight w:val="none"/>
          <w:lang w:bidi="ar"/>
        </w:rPr>
      </w:pPr>
      <w:r>
        <w:rPr>
          <w:rFonts w:hint="eastAsia" w:ascii="仿宋" w:hAnsi="仿宋" w:eastAsia="仿宋" w:cs="仿宋"/>
          <w:b w:val="0"/>
          <w:bCs w:val="0"/>
          <w:sz w:val="32"/>
          <w:szCs w:val="32"/>
          <w:highlight w:val="none"/>
          <w:lang w:val="en-US" w:eastAsia="zh-CN" w:bidi="ar"/>
        </w:rPr>
        <w:t>本报告仅供林芝市财政局了解林芝</w:t>
      </w:r>
      <w:r>
        <w:rPr>
          <w:rFonts w:hint="eastAsia" w:ascii="仿宋" w:hAnsi="仿宋" w:eastAsia="仿宋" w:cs="仿宋"/>
          <w:kern w:val="2"/>
          <w:sz w:val="32"/>
          <w:szCs w:val="32"/>
          <w:lang w:val="en-US" w:eastAsia="zh-CN" w:bidi="ar"/>
        </w:rPr>
        <w:t>市</w:t>
      </w:r>
      <w:r>
        <w:rPr>
          <w:rFonts w:hint="eastAsia" w:ascii="仿宋" w:hAnsi="仿宋" w:eastAsia="仿宋" w:cs="仿宋"/>
          <w:b w:val="0"/>
          <w:bCs w:val="0"/>
          <w:i w:val="0"/>
          <w:iCs w:val="0"/>
          <w:caps w:val="0"/>
          <w:color w:val="000000"/>
          <w:spacing w:val="0"/>
          <w:kern w:val="0"/>
          <w:sz w:val="32"/>
          <w:szCs w:val="32"/>
          <w:lang w:val="en-US" w:eastAsia="zh-CN"/>
        </w:rPr>
        <w:t>消防救援支队</w:t>
      </w:r>
      <w:r>
        <w:rPr>
          <w:rFonts w:hint="eastAsia" w:ascii="仿宋" w:hAnsi="仿宋" w:eastAsia="仿宋" w:cs="仿宋"/>
          <w:b w:val="0"/>
          <w:bCs w:val="0"/>
          <w:sz w:val="32"/>
          <w:szCs w:val="32"/>
          <w:highlight w:val="none"/>
          <w:lang w:val="en-US" w:eastAsia="zh-CN" w:bidi="ar"/>
        </w:rPr>
        <w:t>2023年度部门整体支出的绩效情况，不作其它用途。由于使用不当而造成的后果于本会计师事务所无关。</w:t>
      </w:r>
    </w:p>
    <w:p w14:paraId="40597965">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textAlignment w:val="auto"/>
        <w:outlineLvl w:val="0"/>
        <w:rPr>
          <w:rFonts w:hint="eastAsia" w:ascii="仿宋" w:hAnsi="仿宋" w:eastAsia="仿宋" w:cs="仿宋"/>
          <w:color w:val="000000"/>
          <w:sz w:val="32"/>
          <w:szCs w:val="32"/>
          <w:highlight w:val="none"/>
        </w:rPr>
      </w:pPr>
      <w:bookmarkStart w:id="32" w:name="_Toc7103"/>
      <w:r>
        <w:rPr>
          <w:rFonts w:hint="eastAsia" w:ascii="仿宋" w:hAnsi="仿宋" w:eastAsia="仿宋" w:cs="仿宋"/>
          <w:b/>
          <w:bCs/>
          <w:sz w:val="32"/>
          <w:szCs w:val="32"/>
          <w:highlight w:val="none"/>
          <w:lang w:bidi="ar"/>
        </w:rPr>
        <w:t>附件：</w:t>
      </w:r>
      <w:r>
        <w:rPr>
          <w:rFonts w:hint="eastAsia" w:ascii="仿宋" w:hAnsi="仿宋" w:eastAsia="仿宋" w:cs="仿宋"/>
          <w:b/>
          <w:bCs/>
          <w:kern w:val="2"/>
          <w:sz w:val="32"/>
          <w:szCs w:val="32"/>
          <w:highlight w:val="none"/>
          <w:lang w:bidi="ar"/>
        </w:rPr>
        <w:t>绩效评价指标体系框架打分表</w:t>
      </w:r>
      <w:bookmarkEnd w:id="32"/>
    </w:p>
    <w:p w14:paraId="71D05ED2">
      <w:pPr>
        <w:keepNext w:val="0"/>
        <w:keepLines w:val="0"/>
        <w:pageBreakBefore w:val="0"/>
        <w:tabs>
          <w:tab w:val="left" w:pos="5580"/>
          <w:tab w:val="left" w:pos="5760"/>
          <w:tab w:val="left" w:pos="5940"/>
        </w:tabs>
        <w:kinsoku/>
        <w:wordWrap/>
        <w:overflowPunct/>
        <w:topLinePunct w:val="0"/>
        <w:autoSpaceDN/>
        <w:bidi w:val="0"/>
        <w:adjustRightInd/>
        <w:snapToGrid/>
        <w:spacing w:before="165" w:beforeLines="50" w:beforeAutospacing="0" w:after="165" w:afterLines="50" w:afterAutospacing="0" w:line="360" w:lineRule="auto"/>
        <w:textAlignment w:val="auto"/>
        <w:rPr>
          <w:rFonts w:hint="eastAsia" w:ascii="仿宋" w:hAnsi="仿宋" w:eastAsia="仿宋" w:cs="仿宋"/>
          <w:color w:val="000000"/>
          <w:sz w:val="32"/>
          <w:szCs w:val="32"/>
          <w:highlight w:val="none"/>
        </w:rPr>
      </w:pPr>
    </w:p>
    <w:p w14:paraId="3607FBF1">
      <w:pPr>
        <w:keepNext w:val="0"/>
        <w:keepLines w:val="0"/>
        <w:pageBreakBefore w:val="0"/>
        <w:tabs>
          <w:tab w:val="left" w:pos="5580"/>
          <w:tab w:val="left" w:pos="5760"/>
          <w:tab w:val="left" w:pos="5940"/>
        </w:tabs>
        <w:kinsoku/>
        <w:wordWrap/>
        <w:overflowPunct/>
        <w:topLinePunct w:val="0"/>
        <w:autoSpaceDN/>
        <w:bidi w:val="0"/>
        <w:adjustRightInd/>
        <w:snapToGrid/>
        <w:spacing w:before="165" w:beforeLines="50" w:beforeAutospacing="0" w:after="165" w:afterLines="50" w:afterAutospacing="0" w:line="360" w:lineRule="auto"/>
        <w:ind w:firstLine="2240" w:firstLineChars="7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陕西丰汇韵嘉会计师事务所合伙企业（普通合伙）                           </w:t>
      </w:r>
    </w:p>
    <w:p w14:paraId="3DB2E7F6">
      <w:pPr>
        <w:spacing w:line="360" w:lineRule="auto"/>
        <w:ind w:right="480" w:firstLine="800" w:firstLineChars="250"/>
        <w:jc w:val="center"/>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                               </w:t>
      </w:r>
    </w:p>
    <w:p w14:paraId="151E1A0D">
      <w:pPr>
        <w:spacing w:line="360" w:lineRule="auto"/>
        <w:ind w:right="480" w:firstLine="800" w:firstLineChars="250"/>
        <w:jc w:val="center"/>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 xml:space="preserve">               </w:t>
      </w:r>
      <w:r>
        <w:rPr>
          <w:rFonts w:hint="eastAsia" w:ascii="仿宋" w:hAnsi="仿宋" w:eastAsia="仿宋" w:cs="仿宋"/>
          <w:color w:val="000000"/>
          <w:sz w:val="32"/>
          <w:szCs w:val="32"/>
          <w:highlight w:val="none"/>
        </w:rPr>
        <w:t>二○二四年</w:t>
      </w:r>
      <w:r>
        <w:rPr>
          <w:rFonts w:hint="eastAsia" w:ascii="仿宋" w:hAnsi="仿宋" w:eastAsia="仿宋" w:cs="仿宋"/>
          <w:color w:val="000000"/>
          <w:sz w:val="32"/>
          <w:szCs w:val="32"/>
          <w:highlight w:val="none"/>
          <w:lang w:val="en-US" w:eastAsia="zh-CN"/>
        </w:rPr>
        <w:t>七</w:t>
      </w:r>
      <w:r>
        <w:rPr>
          <w:rFonts w:hint="eastAsia" w:ascii="仿宋" w:hAnsi="仿宋" w:eastAsia="仿宋" w:cs="仿宋"/>
          <w:color w:val="000000"/>
          <w:sz w:val="32"/>
          <w:szCs w:val="32"/>
          <w:highlight w:val="none"/>
        </w:rPr>
        <w:t>月</w:t>
      </w:r>
      <w:r>
        <w:rPr>
          <w:rFonts w:hint="eastAsia" w:ascii="仿宋" w:hAnsi="仿宋" w:eastAsia="仿宋" w:cs="仿宋"/>
          <w:color w:val="000000"/>
          <w:sz w:val="32"/>
          <w:szCs w:val="32"/>
          <w:highlight w:val="none"/>
          <w:lang w:val="en-US" w:eastAsia="zh-CN"/>
        </w:rPr>
        <w:t>二十六</w:t>
      </w:r>
      <w:r>
        <w:rPr>
          <w:rFonts w:hint="eastAsia" w:ascii="仿宋" w:hAnsi="仿宋" w:eastAsia="仿宋" w:cs="仿宋"/>
          <w:color w:val="000000"/>
          <w:sz w:val="32"/>
          <w:szCs w:val="32"/>
          <w:highlight w:val="none"/>
        </w:rPr>
        <w:t>日</w:t>
      </w:r>
    </w:p>
    <w:sectPr>
      <w:footerReference r:id="rId5" w:type="default"/>
      <w:pgSz w:w="11906" w:h="16838"/>
      <w:pgMar w:top="1496" w:right="1416" w:bottom="1105" w:left="1638" w:header="170" w:footer="454" w:gutter="0"/>
      <w:pgBorders>
        <w:top w:val="none" w:sz="0" w:space="0"/>
        <w:left w:val="none" w:sz="0" w:space="0"/>
        <w:bottom w:val="none" w:sz="0" w:space="0"/>
        <w:right w:val="none" w:sz="0" w:space="0"/>
      </w:pgBorders>
      <w:pgNumType w:fmt="decimal" w:start="1"/>
      <w:cols w:space="720" w:num="1"/>
      <w:docGrid w:type="lines" w:linePitch="3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68956">
    <w:pPr>
      <w:pStyle w:val="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47527">
    <w:pPr>
      <w:pStyle w:val="5"/>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-238760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5B31C">
                          <w:pPr>
                            <w:jc w:val="left"/>
                            <w:rPr>
                              <w:rFonts w:hint="eastAsia" w:ascii="等线" w:hAnsi="等线" w:eastAsia="等线"/>
                              <w:b/>
                              <w:sz w:val="24"/>
                            </w:rPr>
                          </w:pPr>
                        </w:p>
                        <w:p w14:paraId="593B7E7C">
                          <w:pPr>
                            <w:jc w:val="left"/>
                            <w:rPr>
                              <w:rFonts w:ascii="等线" w:hAnsi="等线" w:eastAsia="等线"/>
                              <w:sz w:val="24"/>
                            </w:rPr>
                          </w:pPr>
                          <w:r>
                            <w:rPr>
                              <w:rFonts w:hint="eastAsia" w:ascii="等线" w:hAnsi="等线" w:eastAsia="等线"/>
                              <w:sz w:val="24"/>
                            </w:rPr>
                            <w:t xml:space="preserve">地址：陕西省西安市碑林区长安北路永宁国际13楼1308室      </w:t>
                          </w:r>
                          <w:r>
                            <w:rPr>
                              <w:rFonts w:ascii="等线" w:hAnsi="等线" w:eastAsia="等线"/>
                              <w:sz w:val="24"/>
                            </w:rPr>
                            <w:t>电话029-68976696</w:t>
                          </w:r>
                        </w:p>
                        <w:p w14:paraId="46AB13BE">
                          <w:pPr>
                            <w:pStyle w:val="5"/>
                            <w:jc w:val="center"/>
                            <w:rPr>
                              <w:rFonts w:hint="eastAsia"/>
                            </w:rPr>
                          </w:pPr>
                          <w:r>
                            <w:rPr>
                              <w:rFonts w:hint="eastAsia"/>
                            </w:rPr>
                            <w:t xml:space="preserve">    </w:t>
                          </w:r>
                        </w:p>
                        <w:p w14:paraId="2280B667">
                          <w:pPr>
                            <w:pStyle w:val="5"/>
                            <w:jc w:val="center"/>
                            <w:rPr>
                              <w:rFonts w:hint="eastAsia"/>
                            </w:rPr>
                          </w:pPr>
                          <w:r>
                            <w:rPr>
                              <w:rFonts w:hint="eastAsia"/>
                            </w:rPr>
                            <w:t xml:space="preserve">   </w:t>
                          </w:r>
                          <w:r>
                            <w:fldChar w:fldCharType="begin"/>
                          </w:r>
                          <w:r>
                            <w:instrText xml:space="preserve">PAGE   \* MERGEFORMAT</w:instrText>
                          </w:r>
                          <w:r>
                            <w:fldChar w:fldCharType="separate"/>
                          </w:r>
                          <w:r>
                            <w:rPr>
                              <w:lang w:val="zh-CN"/>
                            </w:rPr>
                            <w:t>4</w:t>
                          </w:r>
                          <w: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8.8pt;height:144pt;width:144pt;mso-position-horizontal:center;mso-position-horizontal-relative:margin;mso-wrap-style:none;z-index:251661312;mso-width-relative:page;mso-height-relative:page;" filled="f" stroked="f" coordsize="21600,21600" o:gfxdata="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rAOmLWAAAACAEAAA8AAAAAAAAAAQAgAAAAIgAAAGRycy9kb3ducmV2LnhtbFBL&#10;AQIUABQAAAAIAIdO4kAwiRJeMQIAAGEEAAAOAAAAAAAAAAEAIAAAACUBAABkcnMvZTJvRG9jLnht&#10;bFBLBQYAAAAABgAGAFkBAADIBQAAAAA=&#10;">
              <v:fill on="f" focussize="0,0"/>
              <v:stroke on="f" weight="0.5pt"/>
              <v:imagedata o:title=""/>
              <o:lock v:ext="edit" aspectratio="f"/>
              <v:textbox inset="0mm,0mm,0mm,0mm" style="mso-fit-shape-to-text:t;">
                <w:txbxContent>
                  <w:p w14:paraId="3535B31C">
                    <w:pPr>
                      <w:jc w:val="left"/>
                      <w:rPr>
                        <w:rFonts w:hint="eastAsia" w:ascii="等线" w:hAnsi="等线" w:eastAsia="等线"/>
                        <w:b/>
                        <w:sz w:val="24"/>
                      </w:rPr>
                    </w:pPr>
                  </w:p>
                  <w:p w14:paraId="593B7E7C">
                    <w:pPr>
                      <w:jc w:val="left"/>
                      <w:rPr>
                        <w:rFonts w:ascii="等线" w:hAnsi="等线" w:eastAsia="等线"/>
                        <w:sz w:val="24"/>
                      </w:rPr>
                    </w:pPr>
                    <w:r>
                      <w:rPr>
                        <w:rFonts w:hint="eastAsia" w:ascii="等线" w:hAnsi="等线" w:eastAsia="等线"/>
                        <w:sz w:val="24"/>
                      </w:rPr>
                      <w:t xml:space="preserve">地址：陕西省西安市碑林区长安北路永宁国际13楼1308室      </w:t>
                    </w:r>
                    <w:r>
                      <w:rPr>
                        <w:rFonts w:ascii="等线" w:hAnsi="等线" w:eastAsia="等线"/>
                        <w:sz w:val="24"/>
                      </w:rPr>
                      <w:t>电话029-68976696</w:t>
                    </w:r>
                  </w:p>
                  <w:p w14:paraId="46AB13BE">
                    <w:pPr>
                      <w:pStyle w:val="5"/>
                      <w:jc w:val="center"/>
                      <w:rPr>
                        <w:rFonts w:hint="eastAsia"/>
                      </w:rPr>
                    </w:pPr>
                    <w:r>
                      <w:rPr>
                        <w:rFonts w:hint="eastAsia"/>
                      </w:rPr>
                      <w:t xml:space="preserve">    </w:t>
                    </w:r>
                  </w:p>
                  <w:p w14:paraId="2280B667">
                    <w:pPr>
                      <w:pStyle w:val="5"/>
                      <w:jc w:val="center"/>
                      <w:rPr>
                        <w:rFonts w:hint="eastAsia"/>
                      </w:rPr>
                    </w:pPr>
                    <w:r>
                      <w:rPr>
                        <w:rFonts w:hint="eastAsia"/>
                      </w:rPr>
                      <w:t xml:space="preserve">   </w:t>
                    </w:r>
                    <w:r>
                      <w:fldChar w:fldCharType="begin"/>
                    </w:r>
                    <w:r>
                      <w:instrText xml:space="preserve">PAGE   \* MERGEFORMAT</w:instrText>
                    </w:r>
                    <w:r>
                      <w:fldChar w:fldCharType="separate"/>
                    </w:r>
                    <w:r>
                      <w:rPr>
                        <w:lang w:val="zh-CN"/>
                      </w:rPr>
                      <w:t>4</w:t>
                    </w:r>
                    <w:r>
                      <w:fldChar w:fldCharType="end"/>
                    </w:r>
                    <w:r>
                      <w:rPr>
                        <w:rFonts w:hint="eastAsi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9581C">
    <w:pPr>
      <w:spacing w:line="240" w:lineRule="atLeast"/>
      <w:ind w:right="210"/>
      <w:jc w:val="right"/>
      <w:rPr>
        <w:rFonts w:hint="eastAsia" w:ascii="微软雅黑" w:hAnsi="微软雅黑" w:eastAsia="微软雅黑"/>
        <w:i/>
        <w:szCs w:val="21"/>
      </w:rPr>
    </w:pPr>
  </w:p>
  <w:p w14:paraId="024FCA06">
    <w:pPr>
      <w:spacing w:line="240" w:lineRule="atLeast"/>
      <w:ind w:right="210"/>
      <w:jc w:val="right"/>
      <w:rPr>
        <w:rFonts w:hint="eastAsia" w:ascii="微软雅黑" w:hAnsi="微软雅黑" w:eastAsia="微软雅黑"/>
        <w:i/>
        <w:szCs w:val="21"/>
      </w:rPr>
    </w:pPr>
    <w:r>
      <w:rPr>
        <w:rFonts w:hint="eastAsia" w:ascii="微软雅黑" w:hAnsi="微软雅黑" w:eastAsia="微软雅黑"/>
        <w:i/>
        <w:szCs w:val="21"/>
      </w:rPr>
      <w:t xml:space="preserve">                                 </w:t>
    </w:r>
    <w:r>
      <w:rPr>
        <w:rFonts w:ascii="微软雅黑" w:hAnsi="微软雅黑" w:eastAsia="微软雅黑"/>
        <w:i/>
        <w:szCs w:val="21"/>
      </w:rPr>
      <w:t>陕西丰汇韵嘉会计师事务所合伙企业（普通合伙）</w:t>
    </w:r>
  </w:p>
  <w:p w14:paraId="76B4FF92">
    <w:pPr>
      <w:spacing w:line="240" w:lineRule="atLeast"/>
      <w:ind w:right="210"/>
      <w:jc w:val="right"/>
    </w:pPr>
    <w:r>
      <w:drawing>
        <wp:anchor distT="0" distB="0" distL="114300" distR="114300" simplePos="0" relativeHeight="251659264" behindDoc="1" locked="0" layoutInCell="1" allowOverlap="1">
          <wp:simplePos x="0" y="0"/>
          <wp:positionH relativeFrom="column">
            <wp:posOffset>228600</wp:posOffset>
          </wp:positionH>
          <wp:positionV relativeFrom="paragraph">
            <wp:posOffset>-429260</wp:posOffset>
          </wp:positionV>
          <wp:extent cx="575945" cy="575945"/>
          <wp:effectExtent l="0" t="0" r="14605" b="1460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575945" cy="575945"/>
                  </a:xfrm>
                  <a:prstGeom prst="rect">
                    <a:avLst/>
                  </a:prstGeom>
                  <a:noFill/>
                  <a:ln>
                    <a:noFill/>
                  </a:ln>
                </pic:spPr>
              </pic:pic>
            </a:graphicData>
          </a:graphic>
        </wp:anchor>
      </w:drawing>
    </w:r>
    <w:r>
      <w:rPr>
        <w:rFonts w:ascii="微软雅黑" w:hAnsi="微软雅黑" w:eastAsia="微软雅黑"/>
        <w:i/>
        <w:szCs w:val="21"/>
      </w:rPr>
      <w:t>S</w:t>
    </w:r>
    <w:r>
      <w:rPr>
        <w:rFonts w:hint="eastAsia" w:ascii="微软雅黑" w:hAnsi="微软雅黑" w:eastAsia="微软雅黑"/>
        <w:i/>
        <w:szCs w:val="21"/>
      </w:rPr>
      <w:t>HAANXI</w:t>
    </w:r>
    <w:r>
      <w:rPr>
        <w:rFonts w:ascii="微软雅黑" w:hAnsi="微软雅黑" w:eastAsia="微软雅黑"/>
        <w:i/>
        <w:szCs w:val="21"/>
      </w:rPr>
      <w:t xml:space="preserve"> F</w:t>
    </w:r>
    <w:r>
      <w:rPr>
        <w:rFonts w:hint="eastAsia" w:ascii="微软雅黑" w:hAnsi="微软雅黑" w:eastAsia="微软雅黑"/>
        <w:i/>
        <w:szCs w:val="21"/>
      </w:rPr>
      <w:t>ENG HUI</w:t>
    </w:r>
    <w:r>
      <w:rPr>
        <w:rFonts w:ascii="微软雅黑" w:hAnsi="微软雅黑" w:eastAsia="微软雅黑"/>
        <w:i/>
        <w:szCs w:val="21"/>
      </w:rPr>
      <w:t xml:space="preserve"> </w:t>
    </w:r>
    <w:r>
      <w:rPr>
        <w:rFonts w:hint="eastAsia" w:ascii="微软雅黑" w:hAnsi="微软雅黑" w:eastAsia="微软雅黑"/>
        <w:i/>
        <w:szCs w:val="21"/>
      </w:rPr>
      <w:t>YUNJIA</w:t>
    </w:r>
    <w:r>
      <w:rPr>
        <w:rFonts w:ascii="微软雅黑" w:hAnsi="微软雅黑" w:eastAsia="微软雅黑"/>
        <w:i/>
        <w:szCs w:val="21"/>
      </w:rPr>
      <w:t xml:space="preserve"> </w:t>
    </w:r>
    <w:r>
      <w:rPr>
        <w:rFonts w:hint="eastAsia" w:ascii="微软雅黑" w:hAnsi="微软雅黑" w:eastAsia="微软雅黑"/>
        <w:i/>
        <w:szCs w:val="21"/>
      </w:rPr>
      <w:t>C.P.A</w:t>
    </w:r>
    <w:r>
      <w:rPr>
        <w:rFonts w:ascii="微软雅黑" w:hAnsi="微软雅黑" w:eastAsia="微软雅黑"/>
        <w:i/>
        <w:szCs w:val="21"/>
      </w:rPr>
      <w:t xml:space="preserve"> P</w:t>
    </w:r>
    <w:r>
      <w:rPr>
        <w:rFonts w:hint="eastAsia" w:ascii="微软雅黑" w:hAnsi="微软雅黑" w:eastAsia="微软雅黑"/>
        <w:i/>
        <w:szCs w:val="21"/>
      </w:rPr>
      <w:t>ARTNERSHIP</w:t>
    </w:r>
  </w:p>
  <w:p w14:paraId="1A952D80">
    <w:pPr>
      <w:pStyle w:val="6"/>
      <w:pBdr>
        <w:bottom w:val="none" w:color="auto" w:sz="0" w:space="0"/>
      </w:pBdr>
    </w:pPr>
    <w:r>
      <mc:AlternateContent>
        <mc:Choice Requires="wps">
          <w:drawing>
            <wp:anchor distT="0" distB="0" distL="114300" distR="114300" simplePos="0" relativeHeight="251660288" behindDoc="0" locked="0" layoutInCell="1" allowOverlap="1">
              <wp:simplePos x="0" y="0"/>
              <wp:positionH relativeFrom="column">
                <wp:posOffset>-29845</wp:posOffset>
              </wp:positionH>
              <wp:positionV relativeFrom="paragraph">
                <wp:posOffset>24765</wp:posOffset>
              </wp:positionV>
              <wp:extent cx="5931535" cy="0"/>
              <wp:effectExtent l="0" t="4445" r="0" b="5080"/>
              <wp:wrapNone/>
              <wp:docPr id="1" name="直接箭头连接符 1"/>
              <wp:cNvGraphicFramePr/>
              <a:graphic xmlns:a="http://schemas.openxmlformats.org/drawingml/2006/main">
                <a:graphicData uri="http://schemas.microsoft.com/office/word/2010/wordprocessingShape">
                  <wps:wsp>
                    <wps:cNvCnPr/>
                    <wps:spPr>
                      <a:xfrm>
                        <a:off x="0" y="0"/>
                        <a:ext cx="593153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35pt;margin-top:1.95pt;height:0pt;width:467.05pt;z-index:251660288;mso-width-relative:page;mso-height-relative:page;" filled="f" stroked="t" coordsize="21600,21600" o:gfxdata="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9hSIjVAAAABgEAAA8AAAAAAAAAAQAgAAAAIgAAAGRycy9kb3ducmV2Lnht&#10;bFBLAQIUABQAAAAIAIdO4kD3v1ew/AEAAOwDAAAOAAAAAAAAAAEAIAAAACQBAABkcnMvZTJvRG9j&#10;LnhtbFBLBQYAAAAABgAGAFkBAACSBQAAAAA=&#10;">
              <v:fill on="f" focussize="0,0"/>
              <v:stroke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56F74"/>
    <w:multiLevelType w:val="singleLevel"/>
    <w:tmpl w:val="97A56F74"/>
    <w:lvl w:ilvl="0" w:tentative="0">
      <w:start w:val="1"/>
      <w:numFmt w:val="chineseCounting"/>
      <w:suff w:val="nothing"/>
      <w:lvlText w:val="（%1）"/>
      <w:lvlJc w:val="left"/>
      <w:rPr>
        <w:rFonts w:hint="eastAsia"/>
      </w:rPr>
    </w:lvl>
  </w:abstractNum>
  <w:abstractNum w:abstractNumId="1">
    <w:nsid w:val="D4BBF96E"/>
    <w:multiLevelType w:val="multilevel"/>
    <w:tmpl w:val="D4BBF96E"/>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ABAD4CB"/>
    <w:multiLevelType w:val="singleLevel"/>
    <w:tmpl w:val="2ABAD4CB"/>
    <w:lvl w:ilvl="0" w:tentative="0">
      <w:start w:val="1"/>
      <w:numFmt w:val="chineseCounting"/>
      <w:suff w:val="nothing"/>
      <w:lvlText w:val="（%1）"/>
      <w:lvlJc w:val="left"/>
      <w:rPr>
        <w:rFonts w:hint="eastAsia"/>
      </w:rPr>
    </w:lvl>
  </w:abstractNum>
  <w:abstractNum w:abstractNumId="3">
    <w:nsid w:val="60FDA3F8"/>
    <w:multiLevelType w:val="singleLevel"/>
    <w:tmpl w:val="60FDA3F8"/>
    <w:lvl w:ilvl="0" w:tentative="0">
      <w:start w:val="5"/>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mMDYxNzNhYjEwNmQ1OWRhYTJmNzRjZjJiMjA1YTQifQ=="/>
  </w:docVars>
  <w:rsids>
    <w:rsidRoot w:val="6A744225"/>
    <w:rsid w:val="01FA131E"/>
    <w:rsid w:val="04D119C2"/>
    <w:rsid w:val="05BF47F1"/>
    <w:rsid w:val="0F5D3B7D"/>
    <w:rsid w:val="0F617F63"/>
    <w:rsid w:val="105C4227"/>
    <w:rsid w:val="15766F09"/>
    <w:rsid w:val="18EB086A"/>
    <w:rsid w:val="1A0D715C"/>
    <w:rsid w:val="1F894DF3"/>
    <w:rsid w:val="230D2DB7"/>
    <w:rsid w:val="2386634A"/>
    <w:rsid w:val="266F6BFE"/>
    <w:rsid w:val="2829181B"/>
    <w:rsid w:val="28343954"/>
    <w:rsid w:val="2C08565B"/>
    <w:rsid w:val="315D2224"/>
    <w:rsid w:val="32101BD0"/>
    <w:rsid w:val="3824393A"/>
    <w:rsid w:val="3DFA5869"/>
    <w:rsid w:val="4115326E"/>
    <w:rsid w:val="4150681B"/>
    <w:rsid w:val="466A0A44"/>
    <w:rsid w:val="46AF1972"/>
    <w:rsid w:val="486C3BB1"/>
    <w:rsid w:val="49D1756E"/>
    <w:rsid w:val="4D32161E"/>
    <w:rsid w:val="5012721B"/>
    <w:rsid w:val="50503C8D"/>
    <w:rsid w:val="51600EAB"/>
    <w:rsid w:val="57CB1A36"/>
    <w:rsid w:val="665B64BB"/>
    <w:rsid w:val="67413AA2"/>
    <w:rsid w:val="68D46E40"/>
    <w:rsid w:val="6A744225"/>
    <w:rsid w:val="6C943789"/>
    <w:rsid w:val="6EA05009"/>
    <w:rsid w:val="71185AFB"/>
    <w:rsid w:val="783F302F"/>
    <w:rsid w:val="7B7E5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tabs>
        <w:tab w:val="left" w:pos="360"/>
      </w:tabs>
      <w:spacing w:line="240" w:lineRule="atLeast"/>
      <w:ind w:firstLine="556"/>
      <w:outlineLvl w:val="0"/>
    </w:pPr>
    <w:rPr>
      <w:sz w:val="28"/>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宋体" w:eastAsia="仿宋_GB2312" w:cs="Times New Roman"/>
      <w:color w:val="000000"/>
      <w:kern w:val="2"/>
      <w:sz w:val="24"/>
      <w:szCs w:val="24"/>
      <w:lang w:val="en-US" w:eastAsia="zh-CN" w:bidi="ar"/>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2">
    <w:name w:val="WPSOffice手动目录 1"/>
    <w:qFormat/>
    <w:uiPriority w:val="0"/>
    <w:pPr>
      <w:ind w:leftChars="0"/>
    </w:pPr>
    <w:rPr>
      <w:rFonts w:ascii="Times New Roman" w:hAnsi="Times New Roman" w:eastAsia="宋体" w:cs="Times New Roman"/>
      <w:sz w:val="20"/>
      <w:szCs w:val="20"/>
    </w:rPr>
  </w:style>
  <w:style w:type="paragraph" w:customStyle="1" w:styleId="13">
    <w:name w:val="WPSOffice手动目录 2"/>
    <w:qFormat/>
    <w:uiPriority w:val="0"/>
    <w:pPr>
      <w:ind w:leftChars="200"/>
    </w:pPr>
    <w:rPr>
      <w:rFonts w:ascii="Times New Roman" w:hAnsi="Times New Roman" w:eastAsia="宋体" w:cs="Times New Roman"/>
      <w:sz w:val="20"/>
      <w:szCs w:val="20"/>
    </w:rPr>
  </w:style>
  <w:style w:type="character" w:customStyle="1" w:styleId="14">
    <w:name w:val="15"/>
    <w:basedOn w:val="11"/>
    <w:qFormat/>
    <w:uiPriority w:val="0"/>
    <w:rPr>
      <w:rFonts w:hint="eastAsia" w:ascii="宋体" w:hAnsi="宋体" w:eastAsia="宋体" w:cs="宋体"/>
      <w:color w:val="000000"/>
      <w:sz w:val="20"/>
      <w:szCs w:val="20"/>
    </w:rPr>
  </w:style>
  <w:style w:type="character" w:customStyle="1" w:styleId="15">
    <w:name w:val="16"/>
    <w:basedOn w:val="11"/>
    <w:qFormat/>
    <w:uiPriority w:val="0"/>
    <w:rPr>
      <w:rFonts w:hint="eastAsia" w:ascii="宋体" w:hAnsi="宋体" w:eastAsia="宋体" w:cs="宋体"/>
      <w:color w:val="000000"/>
      <w:sz w:val="20"/>
      <w:szCs w:val="20"/>
    </w:rPr>
  </w:style>
  <w:style w:type="character" w:customStyle="1" w:styleId="16">
    <w:name w:val="font21"/>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9674</Words>
  <Characters>10481</Characters>
  <Lines>0</Lines>
  <Paragraphs>0</Paragraphs>
  <TotalTime>15</TotalTime>
  <ScaleCrop>false</ScaleCrop>
  <LinksUpToDate>false</LinksUpToDate>
  <CharactersWithSpaces>10666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2024-06-26T03:54:00Z</dcterms:created>
  <dc:creator>niu</dc:creator>
  <cp:lastModifiedBy>牛乐</cp:lastModifiedBy>
  <dcterms:modified xsi:type="dcterms:W3CDTF">2024-09-10T02:07:50Z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CD1868D94ED549D9B3A4F34164C58CFD_11</vt:lpwstr>
  </property>
</Properties>
</file>