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ascii="方正小标宋_GBK" w:hAnsi="方正小标宋_GBK" w:eastAsia="方正小标宋_GBK"/>
          <w:b w:val="0"/>
          <w:bCs w:val="0"/>
          <w:sz w:val="30"/>
        </w:rPr>
      </w:pPr>
      <w:bookmarkStart w:id="0" w:name="_Toc24724723"/>
      <w:r>
        <w:rPr>
          <w:rFonts w:hint="eastAsia" w:ascii="方正小标宋_GBK" w:hAnsi="方正小标宋_GBK" w:eastAsia="方正小标宋_GBK"/>
          <w:b w:val="0"/>
          <w:bCs w:val="0"/>
          <w:sz w:val="30"/>
        </w:rPr>
        <w:t>（二十）</w:t>
      </w:r>
      <w:r>
        <w:rPr>
          <w:rFonts w:hint="eastAsia" w:ascii="方正小标宋_GBK" w:hAnsi="方正小标宋_GBK" w:eastAsia="方正小标宋_GBK"/>
          <w:b w:val="0"/>
          <w:bCs w:val="0"/>
          <w:sz w:val="30"/>
          <w:lang w:eastAsia="zh-CN"/>
        </w:rPr>
        <w:t>林芝市工布江达县</w:t>
      </w:r>
      <w:r>
        <w:rPr>
          <w:rFonts w:hint="eastAsia" w:ascii="方正小标宋_GBK" w:hAnsi="方正小标宋_GBK" w:eastAsia="方正小标宋_GBK"/>
          <w:b w:val="0"/>
          <w:bCs w:val="0"/>
          <w:sz w:val="30"/>
        </w:rPr>
        <w:t>公共文化服务领域基层政务公开标准目录</w:t>
      </w:r>
      <w:bookmarkEnd w:id="0"/>
    </w:p>
    <w:tbl>
      <w:tblPr>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342"/>
        <w:gridCol w:w="1888"/>
        <w:gridCol w:w="1862"/>
        <w:gridCol w:w="2108"/>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0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8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6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0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34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88" w:type="dxa"/>
            <w:vMerge w:val="continue"/>
            <w:vAlign w:val="center"/>
          </w:tcPr>
          <w:p>
            <w:pPr>
              <w:widowControl/>
              <w:jc w:val="left"/>
              <w:rPr>
                <w:rFonts w:ascii="黑体" w:hAnsi="宋体" w:eastAsia="黑体" w:cs="宋体"/>
                <w:color w:val="000000"/>
                <w:kern w:val="0"/>
                <w:sz w:val="22"/>
              </w:rPr>
            </w:pPr>
          </w:p>
        </w:tc>
        <w:tc>
          <w:tcPr>
            <w:tcW w:w="1862" w:type="dxa"/>
            <w:vMerge w:val="continue"/>
            <w:vAlign w:val="center"/>
          </w:tcPr>
          <w:p>
            <w:pPr>
              <w:widowControl/>
              <w:jc w:val="left"/>
              <w:rPr>
                <w:rFonts w:ascii="黑体" w:hAnsi="宋体" w:eastAsia="黑体" w:cs="宋体"/>
                <w:color w:val="000000"/>
                <w:kern w:val="0"/>
                <w:sz w:val="22"/>
              </w:rPr>
            </w:pPr>
          </w:p>
        </w:tc>
        <w:tc>
          <w:tcPr>
            <w:tcW w:w="2108"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w:t>
            </w:r>
          </w:p>
        </w:tc>
        <w:tc>
          <w:tcPr>
            <w:tcW w:w="734" w:type="dxa"/>
            <w:vMerge w:val="restart"/>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许可</w:t>
            </w:r>
          </w:p>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互联网上网服务营业场所经营许可</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1.</w:t>
            </w:r>
            <w:r>
              <w:rPr>
                <w:rFonts w:hint="eastAsia" w:ascii="仿宋_GB2312" w:hAnsi="Times New Roman" w:eastAsia="仿宋_GB2312"/>
                <w:color w:val="auto"/>
                <w:sz w:val="18"/>
                <w:szCs w:val="18"/>
              </w:rPr>
              <w:t>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2.行政许可决定。</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《行政许可法》、《政府信息公开条例》、《互联网上网服务营业场所管理条例》</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宋体" w:eastAsia="仿宋_GB2312"/>
                <w:sz w:val="18"/>
                <w:szCs w:val="18"/>
                <w:lang w:val="en-US" w:eastAsia="zh-CN"/>
              </w:rPr>
              <w:t>工布江达</w:t>
            </w:r>
            <w:r>
              <w:rPr>
                <w:rFonts w:hint="eastAsia" w:ascii="仿宋_GB2312" w:hAnsi="Times New Roman" w:eastAsia="仿宋_GB2312"/>
                <w:color w:val="auto"/>
                <w:sz w:val="18"/>
                <w:szCs w:val="18"/>
                <w:lang w:eastAsia="zh-CN"/>
              </w:rPr>
              <w:t>工布江达县文旅局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■政务服务中心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2</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文艺表演团体设立审批</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2.行政许可决定。</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《行政许可法》、《政府信息公开条例》、《营业性演出管理条例》、《文化部关于落实“先照后证”改进文化市场行政审批工作的通知》</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工布江达县文旅局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■政务服务中心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3</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营业性演出审批</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2.行政许可决定。</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同上</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工布江达县文旅局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■政务服务中心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4</w:t>
            </w:r>
          </w:p>
        </w:tc>
        <w:tc>
          <w:tcPr>
            <w:tcW w:w="734" w:type="dxa"/>
            <w:vMerge w:val="restart"/>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许可</w:t>
            </w:r>
          </w:p>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娱乐场所经营许可</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2.行政许可决定。</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工布江达县文旅局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■政务服务中心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5</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县级文物保护单位保护范围内其他建设工程或者爆破、钻探、挖掘等作业审批</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2.行政许可决定。</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■政务服务中心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6</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县级文物保护单位建设控制地带内建设工程设计方案审批</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2.行政许可决定。</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■政务服务中心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7</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县级文物保护单位实施原址保护措施审批</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2.行政许可决定。</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■政务服务中心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8</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县级文物保护单位和未核定为文物保护单位的不可移动文物修缮审批</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2.行政许可决定。</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■政务服务中心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9</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核定为县级文物保护单位的属于国家所有的纪念建筑物或者古建筑改变用途审批</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2.行政许可决定。</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■政务服务中心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10</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非国有文物收藏单位和其他单位举办展览需借用国有馆藏二级以下文物审批</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2.行政许可决定。</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■政务服务中心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11</w:t>
            </w:r>
          </w:p>
        </w:tc>
        <w:tc>
          <w:tcPr>
            <w:tcW w:w="734" w:type="dxa"/>
            <w:vMerge w:val="restart"/>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处罚</w:t>
            </w: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对互联网上网服务营业场所违法行为的行政处罚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工布江达县文旅局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12</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对娱乐场所违法行为的行政处罚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工布江达县文旅局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13</w:t>
            </w:r>
          </w:p>
        </w:tc>
        <w:tc>
          <w:tcPr>
            <w:tcW w:w="734" w:type="dxa"/>
            <w:vMerge w:val="restart"/>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处罚</w:t>
            </w: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对营业性演出违法行为的行政处罚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工布江达县文旅局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14</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对艺术品经营违法行为的行政处罚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工布江达县文旅局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15</w:t>
            </w:r>
          </w:p>
        </w:tc>
        <w:tc>
          <w:tcPr>
            <w:tcW w:w="734" w:type="dxa"/>
            <w:vMerge w:val="restart"/>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处罚</w:t>
            </w: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对网络游戏运营单位违法行为的行政处罚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工布江达县文旅局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16</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对社会艺术水平考级活动违法行为的行政处罚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工布江达县文旅局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17</w:t>
            </w:r>
          </w:p>
        </w:tc>
        <w:tc>
          <w:tcPr>
            <w:tcW w:w="734" w:type="dxa"/>
            <w:vMerge w:val="restart"/>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处罚</w:t>
            </w: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对互联网文化单位违法行为的行政处罚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工布江达县文旅局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18</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对擅自在文物保护单位的保护范围内进行建设工程或者爆破、钻探、挖掘等作业的行为进行处罚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19</w:t>
            </w:r>
          </w:p>
        </w:tc>
        <w:tc>
          <w:tcPr>
            <w:tcW w:w="734" w:type="dxa"/>
            <w:vMerge w:val="restart"/>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处罚</w:t>
            </w: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20</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对擅自迁移、拆除不可移动文物的行为进行处罚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21</w:t>
            </w:r>
          </w:p>
        </w:tc>
        <w:tc>
          <w:tcPr>
            <w:tcW w:w="734" w:type="dxa"/>
            <w:vMerge w:val="restart"/>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处罚</w:t>
            </w: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对擅自修缮不可移动文物，明显改变文物原状的行为进行处罚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22</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对擅自在原址重建已全部毁坏的不可移动文物，造成文物破坏的行为进行处罚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23</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对施工单位未取得文物保护工程资质证书，擅自从事文物修缮、迁移、重建的行为进行处罚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24</w:t>
            </w:r>
          </w:p>
        </w:tc>
        <w:tc>
          <w:tcPr>
            <w:tcW w:w="734" w:type="dxa"/>
            <w:vMerge w:val="restart"/>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处罚</w:t>
            </w: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对转让或者抵押国有不可移动文物的行为进行处罚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25</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对将国有不可移动文物作为企业资产经营的行为进行处罚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26</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对将非国有不可移动文物转让或者抵押给外国人的行为进行处罚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27</w:t>
            </w:r>
          </w:p>
        </w:tc>
        <w:tc>
          <w:tcPr>
            <w:tcW w:w="734" w:type="dxa"/>
            <w:vMerge w:val="restart"/>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处罚</w:t>
            </w: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对擅自改变国有文物保护单位用途的行为进行处罚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28</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对文物收藏单位未按照国家有关规定配备防火、防盗、防自然损坏的设施的行为进行处罚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29</w:t>
            </w:r>
          </w:p>
        </w:tc>
        <w:tc>
          <w:tcPr>
            <w:tcW w:w="734" w:type="dxa"/>
            <w:vMerge w:val="restart"/>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处罚</w:t>
            </w: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对国有文物收藏单位法定代表人离任时未按照馆藏文物档案移交馆藏文物，或者所移交的馆藏文物与馆藏文物档案不符的行为进行处罚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30</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对将国有馆藏文物赠与、出租或者出售给其他单位、个人的行为进行处罚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31</w:t>
            </w:r>
          </w:p>
        </w:tc>
        <w:tc>
          <w:tcPr>
            <w:tcW w:w="734" w:type="dxa"/>
            <w:vMerge w:val="restart"/>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处罚</w:t>
            </w: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对违法借用、交换、处置国有馆藏文物的行为进行处罚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32</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对违法挪用或者侵占依法调拨、交换、出借文物所得补偿费用的行为进行处罚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33</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对发现文物隐匿不报，或者拒不上交的行为进行处罚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34</w:t>
            </w:r>
          </w:p>
        </w:tc>
        <w:tc>
          <w:tcPr>
            <w:tcW w:w="734" w:type="dxa"/>
            <w:vMerge w:val="restart"/>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处罚</w:t>
            </w: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对未按照规定移交拣选文物的行为进行处罚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top"/>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35</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对未取得相应等级的文物保护工程资质证书，擅自承担文物保护单位的修缮、迁移、重建工程逾期不改正，或者造成严重后果的行为进行处罚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top"/>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36</w:t>
            </w:r>
          </w:p>
        </w:tc>
        <w:tc>
          <w:tcPr>
            <w:tcW w:w="734" w:type="dxa"/>
            <w:vMerge w:val="restart"/>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处罚</w:t>
            </w: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对未取得资质证书，擅自从事馆藏文物的修复、复制、拓印活动的行为进行处罚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top"/>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37</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对擅自修复、复制、拓印馆藏珍贵文物的行为进行处罚</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4.处罚结果。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2108" w:type="dxa"/>
            <w:vAlign w:val="top"/>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工布江达县文物局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38</w:t>
            </w:r>
          </w:p>
        </w:tc>
        <w:tc>
          <w:tcPr>
            <w:tcW w:w="734"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强制</w:t>
            </w: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对擅自从事互联网上网服务经营活动场所的查封，专用工具、设备的扣押</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3.处理依据；</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4.处理结果。</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工布江达县文旅局</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39</w:t>
            </w:r>
          </w:p>
        </w:tc>
        <w:tc>
          <w:tcPr>
            <w:tcW w:w="734" w:type="dxa"/>
            <w:vMerge w:val="restart"/>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服务</w:t>
            </w: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公共文化机构免费开放信息</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1.机构名称；</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2.开放时间；</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3.机构地址；</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5.临时停止开放信息。</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工布江达县文旅局</w:t>
            </w:r>
            <w:r>
              <w:rPr>
                <w:rFonts w:hint="eastAsia" w:ascii="仿宋_GB2312" w:hAnsi="Times New Roman" w:eastAsia="仿宋_GB2312"/>
                <w:color w:val="auto"/>
                <w:sz w:val="18"/>
                <w:szCs w:val="18"/>
              </w:rPr>
              <w:t>，相关公共文化服务机构</w:t>
            </w:r>
            <w:r>
              <w:rPr>
                <w:rFonts w:hint="eastAsia" w:ascii="仿宋_GB2312" w:hAnsi="Times New Roman" w:eastAsia="仿宋_GB2312"/>
                <w:color w:val="auto"/>
                <w:sz w:val="18"/>
                <w:szCs w:val="18"/>
                <w:lang w:eastAsia="zh-CN"/>
              </w:rPr>
              <w:t>、各乡镇人民政府</w:t>
            </w:r>
          </w:p>
        </w:tc>
        <w:tc>
          <w:tcPr>
            <w:tcW w:w="14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40</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特殊群体公共文化服务信息</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1.机构名称；</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2.开放时间；</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3.机构地址；</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5.临时停止开放信息。</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《残疾人保障法》、《政府信息公开条例》、《中共中央办公厅 国务院办公厅印发关于加快构建现代公共文化服务体系的意见》</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textDirection w:val="lrTb"/>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工布江达县文旅局</w:t>
            </w:r>
            <w:r>
              <w:rPr>
                <w:rFonts w:hint="eastAsia" w:ascii="仿宋_GB2312" w:hAnsi="Times New Roman" w:eastAsia="仿宋_GB2312"/>
                <w:color w:val="auto"/>
                <w:sz w:val="18"/>
                <w:szCs w:val="18"/>
              </w:rPr>
              <w:t>，相关公共文化服务机构</w:t>
            </w:r>
            <w:r>
              <w:rPr>
                <w:rFonts w:hint="eastAsia" w:ascii="仿宋_GB2312" w:hAnsi="Times New Roman" w:eastAsia="仿宋_GB2312"/>
                <w:color w:val="auto"/>
                <w:sz w:val="18"/>
                <w:szCs w:val="18"/>
                <w:lang w:eastAsia="zh-CN"/>
              </w:rPr>
              <w:t>、各乡镇人民政府</w:t>
            </w:r>
          </w:p>
        </w:tc>
        <w:tc>
          <w:tcPr>
            <w:tcW w:w="1440" w:type="dxa"/>
            <w:vAlign w:val="center"/>
          </w:tcPr>
          <w:p>
            <w:pPr>
              <w:spacing w:line="240" w:lineRule="exact"/>
              <w:rPr>
                <w:rFonts w:hint="eastAsia" w:ascii="仿宋_GB2312" w:hAnsi="Times New Roman" w:eastAsia="仿宋_GB2312"/>
                <w:color w:val="auto"/>
                <w:sz w:val="18"/>
                <w:szCs w:val="18"/>
              </w:rPr>
            </w:pPr>
          </w:p>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w:t>
            </w:r>
            <w:r>
              <w:rPr>
                <w:rFonts w:hint="eastAsia" w:ascii="仿宋_GB2312" w:hAnsi="Times New Roman" w:eastAsia="仿宋_GB2312"/>
                <w:color w:val="auto"/>
                <w:sz w:val="18"/>
                <w:szCs w:val="18"/>
                <w:lang w:eastAsia="zh-CN"/>
              </w:rPr>
              <w:t>公示栏</w:t>
            </w:r>
          </w:p>
          <w:p>
            <w:pPr>
              <w:spacing w:line="240" w:lineRule="exact"/>
              <w:rPr>
                <w:rFonts w:hint="eastAsia" w:ascii="仿宋_GB2312" w:hAnsi="Times New Roman" w:eastAsia="仿宋_GB2312"/>
                <w:color w:val="auto"/>
                <w:sz w:val="18"/>
                <w:szCs w:val="18"/>
              </w:rPr>
            </w:pP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41</w:t>
            </w:r>
          </w:p>
        </w:tc>
        <w:tc>
          <w:tcPr>
            <w:tcW w:w="734" w:type="dxa"/>
            <w:vMerge w:val="restart"/>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服务</w:t>
            </w: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组织开展群众文化活动</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1.机构名称；</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2.开放时间；</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3.机构地址；</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5.临时停止活动信息。</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《政府信息公开条例》、《文化馆服务标准》</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textDirection w:val="lrTb"/>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工布江达县文旅局</w:t>
            </w:r>
            <w:r>
              <w:rPr>
                <w:rFonts w:hint="eastAsia" w:ascii="仿宋_GB2312" w:hAnsi="Times New Roman" w:eastAsia="仿宋_GB2312"/>
                <w:color w:val="auto"/>
                <w:sz w:val="18"/>
                <w:szCs w:val="18"/>
              </w:rPr>
              <w:t>，相关公共文化服务机构</w:t>
            </w:r>
            <w:r>
              <w:rPr>
                <w:rFonts w:hint="eastAsia" w:ascii="仿宋_GB2312" w:hAnsi="Times New Roman" w:eastAsia="仿宋_GB2312"/>
                <w:color w:val="auto"/>
                <w:sz w:val="18"/>
                <w:szCs w:val="18"/>
                <w:lang w:eastAsia="zh-CN"/>
              </w:rPr>
              <w:t>、各乡镇人民政府</w:t>
            </w:r>
          </w:p>
        </w:tc>
        <w:tc>
          <w:tcPr>
            <w:tcW w:w="1440" w:type="dxa"/>
            <w:textDirection w:val="lrTb"/>
            <w:vAlign w:val="center"/>
          </w:tcPr>
          <w:p>
            <w:pPr>
              <w:spacing w:line="240" w:lineRule="exact"/>
              <w:rPr>
                <w:rFonts w:hint="eastAsia" w:ascii="仿宋_GB2312" w:hAnsi="Times New Roman" w:eastAsia="仿宋_GB2312"/>
                <w:color w:val="auto"/>
                <w:sz w:val="18"/>
                <w:szCs w:val="18"/>
              </w:rPr>
            </w:pPr>
          </w:p>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w:t>
            </w:r>
            <w:r>
              <w:rPr>
                <w:rFonts w:hint="eastAsia" w:ascii="仿宋_GB2312" w:hAnsi="Times New Roman" w:eastAsia="仿宋_GB2312"/>
                <w:color w:val="auto"/>
                <w:sz w:val="18"/>
                <w:szCs w:val="18"/>
                <w:lang w:eastAsia="zh-CN"/>
              </w:rPr>
              <w:t>公示栏</w:t>
            </w:r>
          </w:p>
          <w:p>
            <w:pPr>
              <w:spacing w:line="240" w:lineRule="exact"/>
              <w:rPr>
                <w:rFonts w:hint="eastAsia" w:ascii="仿宋_GB2312" w:hAnsi="Times New Roman" w:eastAsia="仿宋_GB2312"/>
                <w:color w:val="auto"/>
                <w:sz w:val="18"/>
                <w:szCs w:val="18"/>
              </w:rPr>
            </w:pP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42</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下基层辅导、演出、展览和指导基层群众文化活动</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1.活动时间；</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2.活动单位；</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3.活动地址；</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5.临时停止活动信息。</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《政府信息公开条例》、《文化馆服务标准》</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textDirection w:val="lrTb"/>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工布江达县文旅局</w:t>
            </w:r>
            <w:r>
              <w:rPr>
                <w:rFonts w:hint="eastAsia" w:ascii="仿宋_GB2312" w:hAnsi="Times New Roman" w:eastAsia="仿宋_GB2312"/>
                <w:color w:val="auto"/>
                <w:sz w:val="18"/>
                <w:szCs w:val="18"/>
              </w:rPr>
              <w:t>，相关公共文化服务机构</w:t>
            </w:r>
            <w:r>
              <w:rPr>
                <w:rFonts w:hint="eastAsia" w:ascii="仿宋_GB2312" w:hAnsi="Times New Roman" w:eastAsia="仿宋_GB2312"/>
                <w:color w:val="auto"/>
                <w:sz w:val="18"/>
                <w:szCs w:val="18"/>
                <w:lang w:eastAsia="zh-CN"/>
              </w:rPr>
              <w:t>、各乡镇人民政府</w:t>
            </w:r>
          </w:p>
        </w:tc>
        <w:tc>
          <w:tcPr>
            <w:tcW w:w="1440" w:type="dxa"/>
            <w:textDirection w:val="lrTb"/>
            <w:vAlign w:val="center"/>
          </w:tcPr>
          <w:p>
            <w:pPr>
              <w:spacing w:line="240" w:lineRule="exact"/>
              <w:rPr>
                <w:rFonts w:hint="eastAsia" w:ascii="仿宋_GB2312" w:hAnsi="Times New Roman" w:eastAsia="仿宋_GB2312"/>
                <w:color w:val="auto"/>
                <w:sz w:val="18"/>
                <w:szCs w:val="18"/>
              </w:rPr>
            </w:pPr>
          </w:p>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w:t>
            </w:r>
            <w:r>
              <w:rPr>
                <w:rFonts w:hint="eastAsia" w:ascii="仿宋_GB2312" w:hAnsi="Times New Roman" w:eastAsia="仿宋_GB2312"/>
                <w:color w:val="auto"/>
                <w:sz w:val="18"/>
                <w:szCs w:val="18"/>
                <w:lang w:eastAsia="zh-CN"/>
              </w:rPr>
              <w:t>公示栏</w:t>
            </w:r>
          </w:p>
          <w:p>
            <w:pPr>
              <w:spacing w:line="240" w:lineRule="exact"/>
              <w:rPr>
                <w:rFonts w:hint="eastAsia" w:ascii="仿宋_GB2312" w:hAnsi="Times New Roman" w:eastAsia="仿宋_GB2312"/>
                <w:color w:val="auto"/>
                <w:sz w:val="18"/>
                <w:szCs w:val="18"/>
              </w:rPr>
            </w:pP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43</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举办各类展览、讲座信息</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1.活动时间；</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2.活动单位；</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3.活动地址；</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5.临时停止活动信息。</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《政府信息公开条例》、《乡镇综合文化站管理办法》</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textDirection w:val="lrTb"/>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工布江达县文旅局</w:t>
            </w:r>
            <w:r>
              <w:rPr>
                <w:rFonts w:hint="eastAsia" w:ascii="仿宋_GB2312" w:hAnsi="Times New Roman" w:eastAsia="仿宋_GB2312"/>
                <w:color w:val="auto"/>
                <w:sz w:val="18"/>
                <w:szCs w:val="18"/>
              </w:rPr>
              <w:t>，相关公共文化服务机构</w:t>
            </w:r>
            <w:r>
              <w:rPr>
                <w:rFonts w:hint="eastAsia" w:ascii="仿宋_GB2312" w:hAnsi="Times New Roman" w:eastAsia="仿宋_GB2312"/>
                <w:color w:val="auto"/>
                <w:sz w:val="18"/>
                <w:szCs w:val="18"/>
                <w:lang w:eastAsia="zh-CN"/>
              </w:rPr>
              <w:t>、各乡镇人民政府</w:t>
            </w:r>
          </w:p>
        </w:tc>
        <w:tc>
          <w:tcPr>
            <w:tcW w:w="1440" w:type="dxa"/>
            <w:textDirection w:val="lrTb"/>
            <w:vAlign w:val="center"/>
          </w:tcPr>
          <w:p>
            <w:pPr>
              <w:spacing w:line="240" w:lineRule="exact"/>
              <w:rPr>
                <w:rFonts w:hint="eastAsia" w:ascii="仿宋_GB2312" w:hAnsi="Times New Roman" w:eastAsia="仿宋_GB2312"/>
                <w:color w:val="auto"/>
                <w:sz w:val="18"/>
                <w:szCs w:val="18"/>
              </w:rPr>
            </w:pPr>
          </w:p>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w:t>
            </w:r>
            <w:r>
              <w:rPr>
                <w:rFonts w:hint="eastAsia" w:ascii="仿宋_GB2312" w:hAnsi="Times New Roman" w:eastAsia="仿宋_GB2312"/>
                <w:color w:val="auto"/>
                <w:sz w:val="18"/>
                <w:szCs w:val="18"/>
                <w:lang w:eastAsia="zh-CN"/>
              </w:rPr>
              <w:t>公示栏</w:t>
            </w:r>
          </w:p>
          <w:p>
            <w:pPr>
              <w:spacing w:line="240" w:lineRule="exact"/>
              <w:rPr>
                <w:rFonts w:hint="eastAsia" w:ascii="仿宋_GB2312" w:hAnsi="Times New Roman" w:eastAsia="仿宋_GB2312"/>
                <w:color w:val="auto"/>
                <w:sz w:val="18"/>
                <w:szCs w:val="18"/>
              </w:rPr>
            </w:pP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44</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辅导和培训基层文化骨干</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1.培训时间；</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2.培训单位；</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3.培训地址；</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5.临时停止活动信息。</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《政府信息公开条例》、《乡镇综合文化站管理办法》</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textDirection w:val="lrTb"/>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工布江达县文旅局</w:t>
            </w:r>
            <w:r>
              <w:rPr>
                <w:rFonts w:hint="eastAsia" w:ascii="仿宋_GB2312" w:hAnsi="Times New Roman" w:eastAsia="仿宋_GB2312"/>
                <w:color w:val="auto"/>
                <w:sz w:val="18"/>
                <w:szCs w:val="18"/>
              </w:rPr>
              <w:t>，相关公共文化服务机构</w:t>
            </w:r>
            <w:r>
              <w:rPr>
                <w:rFonts w:hint="eastAsia" w:ascii="仿宋_GB2312" w:hAnsi="Times New Roman" w:eastAsia="仿宋_GB2312"/>
                <w:color w:val="auto"/>
                <w:sz w:val="18"/>
                <w:szCs w:val="18"/>
                <w:lang w:eastAsia="zh-CN"/>
              </w:rPr>
              <w:t>、各乡镇人民政府</w:t>
            </w:r>
          </w:p>
        </w:tc>
        <w:tc>
          <w:tcPr>
            <w:tcW w:w="1440" w:type="dxa"/>
            <w:textDirection w:val="lrTb"/>
            <w:vAlign w:val="center"/>
          </w:tcPr>
          <w:p>
            <w:pPr>
              <w:spacing w:line="240" w:lineRule="exact"/>
              <w:rPr>
                <w:rFonts w:hint="eastAsia" w:ascii="仿宋_GB2312" w:hAnsi="Times New Roman" w:eastAsia="仿宋_GB2312"/>
                <w:color w:val="auto"/>
                <w:sz w:val="18"/>
                <w:szCs w:val="18"/>
              </w:rPr>
            </w:pPr>
          </w:p>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w:t>
            </w:r>
            <w:r>
              <w:rPr>
                <w:rFonts w:hint="eastAsia" w:ascii="仿宋_GB2312" w:hAnsi="Times New Roman" w:eastAsia="仿宋_GB2312"/>
                <w:color w:val="auto"/>
                <w:sz w:val="18"/>
                <w:szCs w:val="18"/>
                <w:lang w:eastAsia="zh-CN"/>
              </w:rPr>
              <w:t>公示栏</w:t>
            </w:r>
          </w:p>
          <w:p>
            <w:pPr>
              <w:spacing w:line="240" w:lineRule="exact"/>
              <w:rPr>
                <w:rFonts w:hint="eastAsia" w:ascii="仿宋_GB2312" w:hAnsi="Times New Roman" w:eastAsia="仿宋_GB2312"/>
                <w:color w:val="auto"/>
                <w:sz w:val="18"/>
                <w:szCs w:val="18"/>
              </w:rPr>
            </w:pP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45</w:t>
            </w:r>
          </w:p>
        </w:tc>
        <w:tc>
          <w:tcPr>
            <w:tcW w:w="734" w:type="dxa"/>
            <w:vMerge w:val="continue"/>
            <w:vAlign w:val="center"/>
          </w:tcPr>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非物质文化遗产展示传播活动</w:t>
            </w:r>
          </w:p>
        </w:tc>
        <w:tc>
          <w:tcPr>
            <w:tcW w:w="188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1.活动时间；</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2.组织单位；</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3.活动地址；</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r>
            <w:r>
              <w:rPr>
                <w:rFonts w:hint="eastAsia" w:ascii="仿宋_GB2312" w:hAnsi="Times New Roman" w:eastAsia="仿宋_GB2312"/>
                <w:color w:val="auto"/>
                <w:sz w:val="18"/>
                <w:szCs w:val="18"/>
              </w:rPr>
              <w:t>5.临时停止活动信息。</w:t>
            </w:r>
          </w:p>
        </w:tc>
        <w:tc>
          <w:tcPr>
            <w:tcW w:w="186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《非物质文化遗产法》、《政府信息公开条例》  </w:t>
            </w:r>
          </w:p>
        </w:tc>
        <w:tc>
          <w:tcPr>
            <w:tcW w:w="2108"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textDirection w:val="lrTb"/>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工布江达县文旅局</w:t>
            </w:r>
            <w:r>
              <w:rPr>
                <w:rFonts w:hint="eastAsia" w:ascii="仿宋_GB2312" w:hAnsi="Times New Roman" w:eastAsia="仿宋_GB2312"/>
                <w:color w:val="auto"/>
                <w:sz w:val="18"/>
                <w:szCs w:val="18"/>
              </w:rPr>
              <w:t>，相关公共文化服务机构</w:t>
            </w:r>
            <w:r>
              <w:rPr>
                <w:rFonts w:hint="eastAsia" w:ascii="仿宋_GB2312" w:hAnsi="Times New Roman" w:eastAsia="仿宋_GB2312"/>
                <w:color w:val="auto"/>
                <w:sz w:val="18"/>
                <w:szCs w:val="18"/>
                <w:lang w:eastAsia="zh-CN"/>
              </w:rPr>
              <w:t>、各乡镇人民政府</w:t>
            </w:r>
            <w:bookmarkStart w:id="1" w:name="_GoBack"/>
            <w:bookmarkEnd w:id="1"/>
          </w:p>
        </w:tc>
        <w:tc>
          <w:tcPr>
            <w:tcW w:w="1440" w:type="dxa"/>
            <w:textDirection w:val="lrTb"/>
            <w:vAlign w:val="center"/>
          </w:tcPr>
          <w:p>
            <w:pPr>
              <w:spacing w:line="240" w:lineRule="exact"/>
              <w:rPr>
                <w:rFonts w:hint="eastAsia" w:ascii="仿宋_GB2312" w:hAnsi="Times New Roman" w:eastAsia="仿宋_GB2312"/>
                <w:color w:val="auto"/>
                <w:sz w:val="18"/>
                <w:szCs w:val="18"/>
              </w:rPr>
            </w:pPr>
          </w:p>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w:t>
            </w:r>
            <w:r>
              <w:rPr>
                <w:rFonts w:hint="eastAsia" w:ascii="仿宋_GB2312" w:hAnsi="Times New Roman" w:eastAsia="仿宋_GB2312"/>
                <w:color w:val="auto"/>
                <w:sz w:val="18"/>
                <w:szCs w:val="18"/>
                <w:lang w:eastAsia="zh-CN"/>
              </w:rPr>
              <w:t>公示栏</w:t>
            </w:r>
          </w:p>
          <w:p>
            <w:pPr>
              <w:spacing w:line="240" w:lineRule="exact"/>
              <w:rPr>
                <w:rFonts w:hint="eastAsia" w:ascii="仿宋_GB2312" w:hAnsi="Times New Roman" w:eastAsia="仿宋_GB2312"/>
                <w:color w:val="auto"/>
                <w:sz w:val="18"/>
                <w:szCs w:val="18"/>
              </w:rPr>
            </w:pP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2020-12-23T14:17:00Z</dcterms:created>
  <dc:creator>%E5%90%B4%E7%90%BC</dc:creator>
  <cp:lastModifiedBy>xxk</cp:lastModifiedBy>
  <dcterms:modified xsi:type="dcterms:W3CDTF">2020-12-28T11:47:20Z</dcterms:modified>
  <dc:title>（二十）林芝市工布江达县公共文化服务领域基层政务公开标准目录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