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（十四）</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保障性住房领域基层政务公开标准目录</w:t>
      </w:r>
      <w:bookmarkEnd w:id="0"/>
    </w:p>
    <w:tbl>
      <w:tblP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法规政策</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法律法规</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文件名称；文号；</w:t>
            </w:r>
            <w:r>
              <w:rPr>
                <w:rFonts w:hint="eastAsia" w:ascii="仿宋_GB2312" w:hAnsi="宋体" w:eastAsia="仿宋_GB2312"/>
                <w:color w:val="auto"/>
                <w:sz w:val="18"/>
                <w:szCs w:val="18"/>
              </w:rPr>
              <w:br/>
            </w:r>
            <w:r>
              <w:rPr>
                <w:rFonts w:hint="eastAsia" w:ascii="仿宋_GB2312" w:hAnsi="宋体" w:eastAsia="仿宋_GB2312"/>
                <w:color w:val="auto"/>
                <w:sz w:val="18"/>
                <w:szCs w:val="18"/>
              </w:rPr>
              <w:t>发布部门；发布日期；实施日期；正文。</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《廉租住房保障办法》、《公共租赁住房管理办法》、《住房城乡建设部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信息获取（形成、变更）20个工作日内</w:t>
            </w:r>
          </w:p>
        </w:tc>
        <w:tc>
          <w:tcPr>
            <w:tcW w:w="1080" w:type="dxa"/>
            <w:vMerge w:val="restart"/>
            <w:vAlign w:val="center"/>
          </w:tcPr>
          <w:p>
            <w:pPr>
              <w:rPr>
                <w:rFonts w:hint="eastAsia" w:ascii="仿宋_GB2312" w:hAnsi="宋体" w:eastAsia="仿宋_GB2312"/>
                <w:color w:val="auto"/>
                <w:sz w:val="18"/>
                <w:szCs w:val="18"/>
                <w:lang w:val="en-US" w:eastAsia="zh-CN"/>
              </w:rPr>
            </w:pPr>
            <w:r>
              <w:rPr>
                <w:rFonts w:hint="eastAsia" w:ascii="仿宋_GB2312" w:hAnsi="宋体" w:eastAsia="仿宋_GB2312"/>
                <w:color w:val="auto"/>
                <w:sz w:val="18"/>
                <w:szCs w:val="18"/>
                <w:lang w:val="en-US" w:eastAsia="zh-CN"/>
              </w:rPr>
              <w:t>工布江达县住建局</w:t>
            </w:r>
          </w:p>
        </w:tc>
        <w:tc>
          <w:tcPr>
            <w:tcW w:w="1246" w:type="dxa"/>
            <w:vMerge w:val="restart"/>
            <w:vAlign w:val="center"/>
          </w:tcPr>
          <w:p>
            <w:pPr>
              <w:rPr>
                <w:rFonts w:hint="eastAsia" w:ascii="仿宋_GB2312" w:hAnsi="宋体" w:eastAsia="仿宋_GB2312"/>
                <w:color w:val="auto"/>
                <w:sz w:val="18"/>
                <w:szCs w:val="18"/>
                <w:lang w:eastAsia="zh-CN"/>
              </w:rPr>
            </w:pPr>
            <w:r>
              <w:rPr>
                <w:rFonts w:hint="eastAsia" w:ascii="仿宋_GB2312" w:hAnsi="宋体" w:eastAsia="仿宋_GB2312"/>
                <w:sz w:val="18"/>
                <w:szCs w:val="18"/>
              </w:rPr>
              <w:t>■</w:t>
            </w:r>
            <w:r>
              <w:rPr>
                <w:rFonts w:hint="eastAsia" w:ascii="仿宋_GB2312" w:hAnsi="宋体" w:eastAsia="仿宋_GB2312"/>
                <w:color w:val="000000"/>
                <w:sz w:val="18"/>
                <w:szCs w:val="18"/>
              </w:rPr>
              <w:t>政府网站</w:t>
            </w:r>
          </w:p>
          <w:p>
            <w:pPr>
              <w:rPr>
                <w:rFonts w:hint="default" w:ascii="仿宋_GB2312" w:hAnsi="宋体" w:eastAsia="仿宋_GB2312"/>
                <w:color w:val="auto"/>
                <w:sz w:val="18"/>
                <w:szCs w:val="18"/>
                <w:lang w:val="en-US" w:eastAsia="zh-CN"/>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政策文件</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文件名称；文号；发布部门；发布日期；</w:t>
            </w:r>
            <w:r>
              <w:rPr>
                <w:rFonts w:hint="eastAsia" w:ascii="仿宋_GB2312" w:hAnsi="宋体" w:eastAsia="仿宋_GB2312"/>
                <w:color w:val="auto"/>
                <w:sz w:val="18"/>
                <w:szCs w:val="18"/>
              </w:rPr>
              <w:br/>
            </w:r>
            <w:r>
              <w:rPr>
                <w:rFonts w:hint="eastAsia" w:ascii="仿宋_GB2312" w:hAnsi="宋体" w:eastAsia="仿宋_GB2312"/>
                <w:color w:val="auto"/>
                <w:sz w:val="18"/>
                <w:szCs w:val="18"/>
              </w:rPr>
              <w:t>实施日期；正文。</w:t>
            </w: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重大决策</w:t>
            </w: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决策前预公开</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决策公开制度；</w:t>
            </w:r>
          </w:p>
          <w:p>
            <w:pPr>
              <w:rPr>
                <w:rFonts w:hint="eastAsia" w:ascii="仿宋_GB2312" w:hAnsi="宋体" w:eastAsia="仿宋_GB2312"/>
                <w:color w:val="auto"/>
                <w:sz w:val="18"/>
                <w:szCs w:val="18"/>
              </w:rPr>
            </w:pPr>
            <w:r>
              <w:rPr>
                <w:rFonts w:hint="eastAsia" w:ascii="仿宋_GB2312" w:hAnsi="宋体" w:eastAsia="仿宋_GB2312"/>
                <w:color w:val="auto"/>
                <w:sz w:val="18"/>
                <w:szCs w:val="18"/>
              </w:rPr>
              <w:t>意见征集。</w:t>
            </w:r>
          </w:p>
        </w:tc>
        <w:tc>
          <w:tcPr>
            <w:tcW w:w="36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vAlign w:val="center"/>
          </w:tcPr>
          <w:p>
            <w:pPr>
              <w:rPr>
                <w:rFonts w:hint="eastAsia"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重大决策</w:t>
            </w:r>
          </w:p>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决策会议公开</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会议名称；</w:t>
            </w:r>
            <w:r>
              <w:rPr>
                <w:rFonts w:hint="eastAsia" w:ascii="仿宋_GB2312" w:hAnsi="宋体" w:eastAsia="仿宋_GB2312"/>
                <w:color w:val="auto"/>
                <w:sz w:val="18"/>
                <w:szCs w:val="18"/>
              </w:rPr>
              <w:br/>
            </w:r>
            <w:r>
              <w:rPr>
                <w:rFonts w:hint="eastAsia" w:ascii="仿宋_GB2312" w:hAnsi="宋体" w:eastAsia="仿宋_GB2312"/>
                <w:color w:val="auto"/>
                <w:sz w:val="18"/>
                <w:szCs w:val="18"/>
              </w:rPr>
              <w:t>会议时间地点；</w:t>
            </w:r>
            <w:r>
              <w:rPr>
                <w:rFonts w:hint="eastAsia" w:ascii="仿宋_GB2312" w:hAnsi="宋体" w:eastAsia="仿宋_GB2312"/>
                <w:color w:val="auto"/>
                <w:sz w:val="18"/>
                <w:szCs w:val="18"/>
              </w:rPr>
              <w:br/>
            </w:r>
            <w:r>
              <w:rPr>
                <w:rFonts w:hint="eastAsia" w:ascii="仿宋_GB2312" w:hAnsi="宋体" w:eastAsia="仿宋_GB2312"/>
                <w:color w:val="auto"/>
                <w:sz w:val="18"/>
                <w:szCs w:val="18"/>
              </w:rPr>
              <w:t>会议结果。</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p>
            <w:pPr>
              <w:rPr>
                <w:rFonts w:hint="eastAsia" w:ascii="仿宋_GB2312" w:hAnsi="宋体" w:eastAsia="仿宋_GB2312"/>
                <w:color w:val="auto"/>
                <w:sz w:val="18"/>
                <w:szCs w:val="18"/>
              </w:rPr>
            </w:pPr>
          </w:p>
        </w:tc>
        <w:tc>
          <w:tcPr>
            <w:tcW w:w="1080" w:type="dxa"/>
            <w:vMerge w:val="restart"/>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vMerge w:val="restart"/>
            <w:vAlign w:val="center"/>
          </w:tcPr>
          <w:p>
            <w:pPr>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决策结果公开</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住房领域方案、公示公告、通知等。</w:t>
            </w: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计划</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年度计划</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年度建设计划任务量：开工套数、基本建成套数；</w:t>
            </w:r>
            <w:r>
              <w:rPr>
                <w:rFonts w:hint="eastAsia" w:ascii="仿宋_GB2312" w:hAnsi="宋体" w:eastAsia="仿宋_GB2312"/>
                <w:color w:val="auto"/>
                <w:sz w:val="18"/>
                <w:szCs w:val="18"/>
              </w:rPr>
              <w:br/>
            </w:r>
            <w:r>
              <w:rPr>
                <w:rFonts w:hint="eastAsia" w:ascii="仿宋_GB2312" w:hAnsi="宋体" w:eastAsia="仿宋_GB2312"/>
                <w:color w:val="auto"/>
                <w:sz w:val="18"/>
                <w:szCs w:val="18"/>
              </w:rPr>
              <w:t>年度计划项目：项目名称、建设地点、总建筑面积、住宅面积、计划开工时间、计划竣工时间。</w:t>
            </w:r>
          </w:p>
        </w:tc>
        <w:tc>
          <w:tcPr>
            <w:tcW w:w="36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p>
            <w:pPr>
              <w:rPr>
                <w:rFonts w:hint="eastAsia" w:ascii="仿宋_GB2312" w:hAnsi="宋体" w:eastAsia="仿宋_GB2312"/>
                <w:color w:val="auto"/>
                <w:sz w:val="18"/>
                <w:szCs w:val="18"/>
              </w:rPr>
            </w:pPr>
          </w:p>
          <w:p>
            <w:pPr>
              <w:rPr>
                <w:rFonts w:hint="eastAsia" w:ascii="仿宋_GB2312" w:hAnsi="宋体" w:eastAsia="仿宋_GB2312"/>
                <w:color w:val="auto"/>
                <w:sz w:val="18"/>
                <w:szCs w:val="18"/>
              </w:rPr>
            </w:pPr>
          </w:p>
          <w:p>
            <w:pPr>
              <w:rPr>
                <w:rFonts w:hint="eastAsia" w:ascii="仿宋_GB2312" w:hAnsi="宋体" w:eastAsia="仿宋_GB2312"/>
                <w:color w:val="auto"/>
                <w:sz w:val="18"/>
                <w:szCs w:val="18"/>
                <w:lang w:val="en-US" w:eastAsia="zh-CN"/>
              </w:rPr>
            </w:pPr>
          </w:p>
        </w:tc>
        <w:tc>
          <w:tcPr>
            <w:tcW w:w="1080" w:type="dxa"/>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信息形成（变更）20个工作日内</w:t>
            </w:r>
          </w:p>
        </w:tc>
        <w:tc>
          <w:tcPr>
            <w:tcW w:w="1080" w:type="dxa"/>
            <w:textDirection w:val="lrTb"/>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lang w:val="en-US" w:eastAsia="zh-CN"/>
              </w:rPr>
              <w:t>工布江达县住建局</w:t>
            </w:r>
          </w:p>
        </w:tc>
        <w:tc>
          <w:tcPr>
            <w:tcW w:w="1246" w:type="dxa"/>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建设管理</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立项信息</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项目名称；建设地点；投资金额；计划安排。</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开工项目清单</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246" w:type="dxa"/>
            <w:vMerge w:val="continue"/>
            <w:vAlign w:val="center"/>
          </w:tcPr>
          <w:p>
            <w:pPr>
              <w:rPr>
                <w:rFonts w:ascii="仿宋_GB2312" w:hAnsi="宋体" w:eastAsia="仿宋_GB2312"/>
                <w:color w:val="auto"/>
                <w:sz w:val="18"/>
                <w:szCs w:val="18"/>
              </w:rPr>
            </w:pP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建设管理</w:t>
            </w: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基本建成项目清单</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项目名称；建设地址；建设单位；竣工套数；竣工时间等。</w:t>
            </w:r>
          </w:p>
        </w:tc>
        <w:tc>
          <w:tcPr>
            <w:tcW w:w="3600"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政府信息公开条例》、《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textDirection w:val="lrTb"/>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vMerge w:val="restart"/>
            <w:vAlign w:val="center"/>
          </w:tcPr>
          <w:p>
            <w:pPr>
              <w:rPr>
                <w:rFonts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竣工项目清单</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项目名称；建设地址；建设单位；竣工套数；竣工时间等。</w:t>
            </w:r>
          </w:p>
        </w:tc>
        <w:tc>
          <w:tcPr>
            <w:tcW w:w="360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246" w:type="dxa"/>
            <w:vMerge w:val="continue"/>
            <w:vAlign w:val="center"/>
          </w:tcPr>
          <w:p>
            <w:pPr>
              <w:rPr>
                <w:rFonts w:ascii="仿宋_GB2312" w:hAnsi="宋体" w:eastAsia="仿宋_GB2312"/>
                <w:color w:val="auto"/>
                <w:sz w:val="18"/>
                <w:szCs w:val="18"/>
              </w:rPr>
            </w:pP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配套设施建设情况</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080" w:type="dxa"/>
            <w:vMerge w:val="continue"/>
            <w:vAlign w:val="center"/>
          </w:tcPr>
          <w:p>
            <w:pPr>
              <w:rPr>
                <w:rFonts w:ascii="仿宋_GB2312" w:hAnsi="宋体" w:eastAsia="仿宋_GB2312"/>
                <w:color w:val="auto"/>
                <w:sz w:val="18"/>
                <w:szCs w:val="18"/>
              </w:rPr>
            </w:pPr>
          </w:p>
        </w:tc>
        <w:tc>
          <w:tcPr>
            <w:tcW w:w="1246" w:type="dxa"/>
            <w:vMerge w:val="continue"/>
            <w:vAlign w:val="center"/>
          </w:tcPr>
          <w:p>
            <w:pPr>
              <w:rPr>
                <w:rFonts w:ascii="仿宋_GB2312" w:hAnsi="宋体" w:eastAsia="仿宋_GB2312"/>
                <w:color w:val="auto"/>
                <w:sz w:val="18"/>
                <w:szCs w:val="18"/>
              </w:rPr>
            </w:pP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配给管理</w:t>
            </w: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保障性住房申请受理</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申请条件、程序、期限和所需材料；</w:t>
            </w:r>
            <w:r>
              <w:rPr>
                <w:rFonts w:hint="eastAsia" w:ascii="仿宋_GB2312" w:hAnsi="宋体" w:eastAsia="仿宋_GB2312"/>
                <w:color w:val="auto"/>
                <w:sz w:val="18"/>
                <w:szCs w:val="18"/>
              </w:rPr>
              <w:br/>
            </w:r>
            <w:r>
              <w:rPr>
                <w:rFonts w:hint="eastAsia" w:ascii="仿宋_GB2312" w:hAnsi="宋体" w:eastAsia="仿宋_GB2312"/>
                <w:color w:val="auto"/>
                <w:sz w:val="18"/>
                <w:szCs w:val="18"/>
              </w:rPr>
              <w:t>租赁补贴发放计划。</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textDirection w:val="lrTb"/>
            <w:vAlign w:val="center"/>
          </w:tcPr>
          <w:p>
            <w:pPr>
              <w:rPr>
                <w:rFonts w:hint="eastAsia" w:ascii="仿宋_GB2312" w:hAnsi="宋体" w:eastAsia="仿宋_GB2312"/>
                <w:color w:val="auto"/>
                <w:sz w:val="18"/>
                <w:szCs w:val="18"/>
              </w:rPr>
            </w:pPr>
            <w:bookmarkStart w:id="1" w:name="_GoBack"/>
            <w:bookmarkEnd w:id="1"/>
            <w:r>
              <w:rPr>
                <w:rFonts w:hint="eastAsia" w:ascii="仿宋_GB2312" w:hAnsi="宋体" w:eastAsia="仿宋_GB2312"/>
                <w:color w:val="auto"/>
                <w:sz w:val="18"/>
                <w:szCs w:val="18"/>
                <w:lang w:val="en-US" w:eastAsia="zh-CN"/>
              </w:rPr>
              <w:t>局</w:t>
            </w:r>
          </w:p>
        </w:tc>
        <w:tc>
          <w:tcPr>
            <w:tcW w:w="1246" w:type="dxa"/>
            <w:vMerge w:val="restart"/>
            <w:textDirection w:val="lrTb"/>
            <w:vAlign w:val="center"/>
          </w:tcPr>
          <w:p>
            <w:pPr>
              <w:rPr>
                <w:rFonts w:hint="default" w:ascii="仿宋_GB2312" w:hAnsi="宋体" w:eastAsia="仿宋_GB2312"/>
                <w:color w:val="auto"/>
                <w:sz w:val="18"/>
                <w:szCs w:val="18"/>
                <w:lang w:val="en-US"/>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公租房承租资格审核</w:t>
            </w:r>
          </w:p>
        </w:tc>
        <w:tc>
          <w:tcPr>
            <w:tcW w:w="18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申请受理；</w:t>
            </w:r>
            <w:r>
              <w:rPr>
                <w:rFonts w:hint="eastAsia" w:ascii="仿宋_GB2312" w:hAnsi="宋体" w:eastAsia="仿宋_GB2312"/>
                <w:color w:val="auto"/>
                <w:sz w:val="18"/>
                <w:szCs w:val="18"/>
              </w:rPr>
              <w:br/>
            </w:r>
            <w:r>
              <w:rPr>
                <w:rFonts w:hint="eastAsia" w:ascii="仿宋_GB2312" w:hAnsi="宋体" w:eastAsia="仿宋_GB2312"/>
                <w:color w:val="auto"/>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公租房租赁补贴</w:t>
            </w:r>
          </w:p>
        </w:tc>
        <w:tc>
          <w:tcPr>
            <w:tcW w:w="1800" w:type="dxa"/>
            <w:vMerge w:val="continue"/>
            <w:vAlign w:val="center"/>
          </w:tcPr>
          <w:p>
            <w:pPr>
              <w:rPr>
                <w:rFonts w:hint="eastAsia" w:ascii="仿宋_GB2312" w:hAnsi="宋体" w:eastAsia="仿宋_GB2312"/>
                <w:color w:val="auto"/>
                <w:sz w:val="18"/>
                <w:szCs w:val="18"/>
              </w:rPr>
            </w:pP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kern w:val="2"/>
                <w:sz w:val="18"/>
                <w:szCs w:val="18"/>
                <w:lang w:val="en-US" w:eastAsia="zh-CN" w:bidi="ar-SA"/>
              </w:rPr>
            </w:pPr>
          </w:p>
        </w:tc>
        <w:tc>
          <w:tcPr>
            <w:tcW w:w="551"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5</w:t>
            </w:r>
          </w:p>
        </w:tc>
        <w:tc>
          <w:tcPr>
            <w:tcW w:w="720" w:type="dxa"/>
            <w:vMerge w:val="restart"/>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配给管理</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房源信息</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textDirection w:val="lrTb"/>
            <w:vAlign w:val="center"/>
          </w:tcPr>
          <w:p>
            <w:pPr>
              <w:rPr>
                <w:rFonts w:hint="eastAsia" w:ascii="仿宋_GB2312" w:hAnsi="宋体" w:eastAsia="仿宋_GB2312"/>
                <w:color w:val="auto"/>
                <w:sz w:val="18"/>
                <w:szCs w:val="18"/>
                <w:lang w:eastAsia="zh-CN"/>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6</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分配结果</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保障对象姓名；保障性住房类型；房号、面积、套型；所在建设项目名称等。</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政府信息公开条例》、《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信息形成（变更）20个工作日内</w:t>
            </w:r>
          </w:p>
        </w:tc>
        <w:tc>
          <w:tcPr>
            <w:tcW w:w="1080" w:type="dxa"/>
            <w:vMerge w:val="restart"/>
            <w:textDirection w:val="lrTb"/>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lang w:val="en-US" w:eastAsia="zh-CN"/>
              </w:rPr>
              <w:t>工布江达县住建局</w:t>
            </w:r>
          </w:p>
        </w:tc>
        <w:tc>
          <w:tcPr>
            <w:tcW w:w="1246" w:type="dxa"/>
            <w:vMerge w:val="restart"/>
            <w:textDirection w:val="lrTb"/>
            <w:vAlign w:val="center"/>
          </w:tcPr>
          <w:p>
            <w:pPr>
              <w:rPr>
                <w:rFonts w:hint="eastAsia" w:ascii="仿宋_GB2312" w:hAnsi="宋体" w:eastAsia="仿宋_GB2312"/>
                <w:color w:val="auto"/>
                <w:kern w:val="2"/>
                <w:sz w:val="18"/>
                <w:szCs w:val="18"/>
                <w:lang w:val="en-US" w:eastAsia="zh-CN" w:bidi="ar-SA"/>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17</w:t>
            </w:r>
          </w:p>
        </w:tc>
        <w:tc>
          <w:tcPr>
            <w:tcW w:w="720" w:type="dxa"/>
            <w:vMerge w:val="continue"/>
            <w:vAlign w:val="center"/>
          </w:tcPr>
          <w:p>
            <w:pPr>
              <w:jc w:val="center"/>
              <w:rPr>
                <w:rFonts w:hint="eastAsia" w:ascii="仿宋_GB2312" w:hAnsi="宋体" w:eastAsia="仿宋_GB2312"/>
                <w:color w:val="auto"/>
                <w:sz w:val="18"/>
                <w:szCs w:val="18"/>
              </w:rPr>
            </w:pP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办理配租公告</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县住房城乡建设部门</w:t>
            </w: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　</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auto"/>
                <w:sz w:val="18"/>
                <w:szCs w:val="18"/>
                <w:highlight w:val="none"/>
                <w:shd w:val="clear" w:color="auto" w:fill="auto"/>
                <w:lang w:val="en-US" w:eastAsia="zh-CN"/>
              </w:rPr>
            </w:pPr>
            <w:r>
              <w:rPr>
                <w:rFonts w:hint="eastAsia" w:ascii="仿宋_GB2312" w:hAnsi="宋体" w:eastAsia="仿宋_GB2312"/>
                <w:color w:val="auto"/>
                <w:sz w:val="18"/>
                <w:szCs w:val="18"/>
                <w:highlight w:val="none"/>
                <w:shd w:val="clear" w:color="auto" w:fill="auto"/>
                <w:lang w:val="en-US" w:eastAsia="zh-CN"/>
              </w:rPr>
              <w:t>18</w:t>
            </w:r>
          </w:p>
        </w:tc>
        <w:tc>
          <w:tcPr>
            <w:tcW w:w="720" w:type="dxa"/>
            <w:vAlign w:val="center"/>
          </w:tcPr>
          <w:p>
            <w:pPr>
              <w:jc w:val="cente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配后管理</w:t>
            </w:r>
          </w:p>
        </w:tc>
        <w:tc>
          <w:tcPr>
            <w:tcW w:w="1274" w:type="dxa"/>
            <w:vAlign w:val="center"/>
          </w:tcPr>
          <w:p>
            <w:pP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租赁补贴发放</w:t>
            </w:r>
          </w:p>
        </w:tc>
        <w:tc>
          <w:tcPr>
            <w:tcW w:w="1800" w:type="dxa"/>
            <w:vAlign w:val="center"/>
          </w:tcPr>
          <w:p>
            <w:pP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保障对象姓名、身份证号（隐藏部分号码）；发放金额；发放年度、月份、日期；发放方式。</w:t>
            </w:r>
          </w:p>
        </w:tc>
        <w:tc>
          <w:tcPr>
            <w:tcW w:w="3600" w:type="dxa"/>
            <w:vAlign w:val="center"/>
          </w:tcPr>
          <w:p>
            <w:pP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信息形成（变更）20个工作日内</w:t>
            </w:r>
          </w:p>
        </w:tc>
        <w:tc>
          <w:tcPr>
            <w:tcW w:w="1080" w:type="dxa"/>
            <w:textDirection w:val="lrTb"/>
            <w:vAlign w:val="center"/>
          </w:tcPr>
          <w:p>
            <w:pP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lang w:val="en-US" w:eastAsia="zh-CN"/>
              </w:rPr>
              <w:t>工布江达县住建局</w:t>
            </w:r>
          </w:p>
        </w:tc>
        <w:tc>
          <w:tcPr>
            <w:tcW w:w="1246" w:type="dxa"/>
            <w:textDirection w:val="lrTb"/>
            <w:vAlign w:val="center"/>
          </w:tcPr>
          <w:p>
            <w:pPr>
              <w:rPr>
                <w:rFonts w:hint="eastAsia" w:ascii="仿宋_GB2312" w:hAnsi="宋体" w:eastAsia="仿宋_GB2312"/>
                <w:color w:val="auto"/>
                <w:sz w:val="18"/>
                <w:szCs w:val="18"/>
                <w:lang w:val="en-US" w:eastAsia="zh-CN"/>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w:t>
            </w:r>
          </w:p>
        </w:tc>
        <w:tc>
          <w:tcPr>
            <w:tcW w:w="709" w:type="dxa"/>
            <w:vAlign w:val="center"/>
          </w:tcPr>
          <w:p>
            <w:pPr>
              <w:jc w:val="center"/>
              <w:rPr>
                <w:rFonts w:hint="eastAsia" w:ascii="仿宋_GB2312" w:hAnsi="宋体" w:eastAsia="仿宋_GB2312"/>
                <w:color w:val="auto"/>
                <w:sz w:val="18"/>
                <w:szCs w:val="18"/>
                <w:highlight w:val="none"/>
                <w:shd w:val="clear" w:color="auto" w:fill="auto"/>
              </w:rPr>
            </w:pPr>
          </w:p>
        </w:tc>
        <w:tc>
          <w:tcPr>
            <w:tcW w:w="551" w:type="dxa"/>
            <w:vAlign w:val="center"/>
          </w:tcPr>
          <w:p>
            <w:pPr>
              <w:jc w:val="cente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w:t>
            </w:r>
          </w:p>
        </w:tc>
        <w:tc>
          <w:tcPr>
            <w:tcW w:w="720" w:type="dxa"/>
            <w:vAlign w:val="center"/>
          </w:tcPr>
          <w:p>
            <w:pPr>
              <w:jc w:val="center"/>
              <w:rPr>
                <w:rFonts w:hint="eastAsia" w:ascii="仿宋_GB2312" w:hAnsi="宋体" w:eastAsia="仿宋_GB2312"/>
                <w:color w:val="auto"/>
                <w:sz w:val="18"/>
                <w:szCs w:val="18"/>
                <w:highlight w:val="none"/>
                <w:shd w:val="clear" w:color="auto" w:fill="auto"/>
              </w:rPr>
            </w:pPr>
          </w:p>
        </w:tc>
        <w:tc>
          <w:tcPr>
            <w:tcW w:w="720" w:type="dxa"/>
            <w:vAlign w:val="center"/>
          </w:tcPr>
          <w:p>
            <w:pPr>
              <w:jc w:val="center"/>
              <w:rPr>
                <w:rFonts w:hint="eastAsia" w:ascii="仿宋_GB2312" w:hAnsi="宋体" w:eastAsia="仿宋_GB2312"/>
                <w:color w:val="auto"/>
                <w:sz w:val="18"/>
                <w:szCs w:val="18"/>
                <w:highlight w:val="none"/>
                <w:shd w:val="clear" w:color="auto" w:fill="auto"/>
              </w:rPr>
            </w:pPr>
            <w:r>
              <w:rPr>
                <w:rFonts w:hint="eastAsia" w:ascii="仿宋_GB2312" w:hAnsi="宋体" w:eastAsia="仿宋_GB2312"/>
                <w:color w:val="auto"/>
                <w:sz w:val="18"/>
                <w:szCs w:val="18"/>
                <w:highlight w:val="none"/>
                <w:shd w:val="clear" w:color="auto" w:fill="auto"/>
              </w:rPr>
              <w:t>√</w:t>
            </w:r>
          </w:p>
        </w:tc>
        <w:tc>
          <w:tcPr>
            <w:tcW w:w="720" w:type="dxa"/>
            <w:vAlign w:val="center"/>
          </w:tcPr>
          <w:p>
            <w:pPr>
              <w:jc w:val="center"/>
              <w:rPr>
                <w:rFonts w:hint="eastAsia" w:ascii="仿宋_GB2312" w:hAnsi="宋体" w:eastAsia="仿宋_GB2312"/>
                <w:color w:val="auto"/>
                <w:sz w:val="18"/>
                <w:szCs w:val="1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19</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办事指南</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申请保障</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申请条件；申请所需材料及范本；申请流程和办理时限；申请受理（办理）机构；受理地点；咨询电话、监督电话等。</w:t>
            </w:r>
          </w:p>
        </w:tc>
        <w:tc>
          <w:tcPr>
            <w:tcW w:w="36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《关于全面推进政务公开工作的意见》、《国务院关于加快推进“互联网+政务服务”工作的指导意见》</w:t>
            </w:r>
          </w:p>
        </w:tc>
        <w:tc>
          <w:tcPr>
            <w:tcW w:w="108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20</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办事指南</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缴纳租金</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租金标准；受理（办理）机构等。</w:t>
            </w:r>
          </w:p>
        </w:tc>
        <w:tc>
          <w:tcPr>
            <w:tcW w:w="360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vMerge w:val="restart"/>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vMerge w:val="restart"/>
            <w:textDirection w:val="lrTb"/>
            <w:vAlign w:val="center"/>
          </w:tcPr>
          <w:p>
            <w:pPr>
              <w:rPr>
                <w:rFonts w:hint="eastAsia"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sz w:val="18"/>
                <w:szCs w:val="18"/>
              </w:rPr>
            </w:pPr>
          </w:p>
        </w:tc>
        <w:tc>
          <w:tcPr>
            <w:tcW w:w="551"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21</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政策解读</w:t>
            </w:r>
          </w:p>
        </w:tc>
        <w:tc>
          <w:tcPr>
            <w:tcW w:w="1274"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本级政策解读</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解读主体；解读内容；解读方式；解读时间等。</w:t>
            </w:r>
          </w:p>
        </w:tc>
        <w:tc>
          <w:tcPr>
            <w:tcW w:w="360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080" w:type="dxa"/>
            <w:vMerge w:val="continue"/>
            <w:vAlign w:val="center"/>
          </w:tcPr>
          <w:p>
            <w:pPr>
              <w:rPr>
                <w:rFonts w:hint="eastAsia" w:ascii="仿宋_GB2312" w:hAnsi="宋体" w:eastAsia="仿宋_GB2312"/>
                <w:color w:val="auto"/>
                <w:sz w:val="18"/>
                <w:szCs w:val="18"/>
              </w:rPr>
            </w:pPr>
          </w:p>
        </w:tc>
        <w:tc>
          <w:tcPr>
            <w:tcW w:w="1246" w:type="dxa"/>
            <w:vMerge w:val="continue"/>
            <w:vAlign w:val="center"/>
          </w:tcPr>
          <w:p>
            <w:pPr>
              <w:rPr>
                <w:rFonts w:hint="eastAsia" w:ascii="仿宋_GB2312" w:hAnsi="宋体" w:eastAsia="仿宋_GB2312"/>
                <w:color w:val="auto"/>
                <w:sz w:val="18"/>
                <w:szCs w:val="18"/>
              </w:rPr>
            </w:pP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kern w:val="2"/>
                <w:sz w:val="18"/>
                <w:szCs w:val="18"/>
                <w:lang w:val="en-US" w:eastAsia="zh-CN" w:bidi="ar-SA"/>
              </w:rPr>
            </w:pPr>
          </w:p>
        </w:tc>
        <w:tc>
          <w:tcPr>
            <w:tcW w:w="551"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720"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回应关切</w:t>
            </w:r>
          </w:p>
        </w:tc>
        <w:tc>
          <w:tcPr>
            <w:tcW w:w="1274" w:type="dxa"/>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主动回应</w:t>
            </w:r>
          </w:p>
        </w:tc>
        <w:tc>
          <w:tcPr>
            <w:tcW w:w="18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公众提出的意见建议及回复情况；公开突发事件应对情况等。</w:t>
            </w:r>
          </w:p>
        </w:tc>
        <w:tc>
          <w:tcPr>
            <w:tcW w:w="360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《关于全面推进政务公开工作的意见》、《国务院关于加快推进“互联网+政务服务”工作的指导意见》</w:t>
            </w:r>
          </w:p>
        </w:tc>
        <w:tc>
          <w:tcPr>
            <w:tcW w:w="1080" w:type="dxa"/>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rPr>
              <w:t>信息形成（变更）20个工作日内</w:t>
            </w:r>
          </w:p>
        </w:tc>
        <w:tc>
          <w:tcPr>
            <w:tcW w:w="1080"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color w:val="auto"/>
                <w:sz w:val="18"/>
                <w:szCs w:val="18"/>
                <w:lang w:val="en-US" w:eastAsia="zh-CN"/>
              </w:rPr>
              <w:t>工布江达县住建局</w:t>
            </w:r>
          </w:p>
        </w:tc>
        <w:tc>
          <w:tcPr>
            <w:tcW w:w="1246" w:type="dxa"/>
            <w:textDirection w:val="lrTb"/>
            <w:vAlign w:val="center"/>
          </w:tcPr>
          <w:p>
            <w:pPr>
              <w:rPr>
                <w:rFonts w:hint="eastAsia" w:ascii="仿宋_GB2312" w:hAnsi="宋体" w:eastAsia="仿宋_GB2312"/>
                <w:color w:val="auto"/>
                <w:sz w:val="18"/>
                <w:szCs w:val="18"/>
              </w:rPr>
            </w:pPr>
            <w:r>
              <w:rPr>
                <w:rFonts w:hint="eastAsia" w:ascii="仿宋_GB2312" w:hAnsi="宋体" w:eastAsia="仿宋_GB2312"/>
                <w:sz w:val="18"/>
                <w:szCs w:val="18"/>
              </w:rPr>
              <w:t>■</w:t>
            </w:r>
            <w:r>
              <w:rPr>
                <w:rFonts w:hint="eastAsia" w:ascii="仿宋_GB2312" w:hAnsi="宋体" w:eastAsia="仿宋_GB2312"/>
                <w:color w:val="auto"/>
                <w:sz w:val="18"/>
                <w:szCs w:val="18"/>
                <w:lang w:eastAsia="zh-CN"/>
              </w:rPr>
              <w:t>政府网站</w:t>
            </w: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09" w:type="dxa"/>
            <w:vAlign w:val="center"/>
          </w:tcPr>
          <w:p>
            <w:pPr>
              <w:jc w:val="center"/>
              <w:rPr>
                <w:rFonts w:hint="eastAsia" w:ascii="仿宋_GB2312" w:hAnsi="宋体" w:eastAsia="仿宋_GB2312"/>
                <w:color w:val="auto"/>
                <w:kern w:val="2"/>
                <w:sz w:val="18"/>
                <w:szCs w:val="18"/>
                <w:lang w:val="en-US" w:eastAsia="zh-CN" w:bidi="ar-SA"/>
              </w:rPr>
            </w:pPr>
          </w:p>
        </w:tc>
        <w:tc>
          <w:tcPr>
            <w:tcW w:w="551"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c>
          <w:tcPr>
            <w:tcW w:w="720" w:type="dxa"/>
            <w:vAlign w:val="center"/>
          </w:tcPr>
          <w:p>
            <w:pPr>
              <w:jc w:val="center"/>
              <w:rPr>
                <w:rFonts w:hint="eastAsia" w:ascii="仿宋_GB2312" w:hAnsi="宋体" w:eastAsia="仿宋_GB2312"/>
                <w:color w:val="auto"/>
                <w:kern w:val="2"/>
                <w:sz w:val="18"/>
                <w:szCs w:val="18"/>
                <w:lang w:val="en-US" w:eastAsia="zh-CN" w:bidi="ar-SA"/>
              </w:rPr>
            </w:pPr>
            <w:r>
              <w:rPr>
                <w:rFonts w:hint="eastAsia" w:ascii="仿宋_GB2312" w:hAnsi="宋体" w:eastAsia="仿宋_GB2312"/>
                <w:color w:val="auto"/>
                <w:sz w:val="18"/>
                <w:szCs w:val="18"/>
              </w:rPr>
              <w:t>√</w:t>
            </w:r>
          </w:p>
        </w:tc>
        <w:tc>
          <w:tcPr>
            <w:tcW w:w="720" w:type="dxa"/>
            <w:vAlign w:val="center"/>
          </w:tcPr>
          <w:p>
            <w:pPr>
              <w:jc w:val="center"/>
              <w:rPr>
                <w:rFonts w:hint="eastAsia" w:ascii="仿宋_GB2312" w:hAnsi="宋体" w:eastAsia="仿宋_GB2312"/>
                <w:color w:val="auto"/>
                <w:kern w:val="2"/>
                <w:sz w:val="18"/>
                <w:szCs w:val="18"/>
                <w:lang w:val="en-US" w:eastAsia="zh-CN" w:bidi="ar-SA"/>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2020-12-23T13:42:00Z</dcterms:created>
  <dc:creator>%E5%90%B4%E7%90%BC</dc:creator>
  <cp:lastModifiedBy>xxk</cp:lastModifiedBy>
  <dcterms:modified xsi:type="dcterms:W3CDTF">2020-12-28T11:58:56Z</dcterms:modified>
  <dc:title>（十四）林芝市工布江达县保障性住房领域基层政务公开标准目录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