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rPr>
      </w:pPr>
      <w:bookmarkStart w:id="0" w:name="_Toc24724716"/>
      <w:r>
        <w:rPr>
          <w:rFonts w:hint="eastAsia" w:ascii="方正小标宋_GBK" w:hAnsi="方正小标宋_GBK" w:eastAsia="方正小标宋_GBK"/>
          <w:b w:val="0"/>
          <w:bCs w:val="0"/>
          <w:sz w:val="30"/>
        </w:rPr>
        <w:t>（十三）</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生态环境领域基层政务公开标准目录</w:t>
      </w:r>
      <w:bookmarkEnd w:id="0"/>
    </w:p>
    <w:tbl>
      <w:tblPr>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10"/>
        <w:gridCol w:w="808"/>
        <w:gridCol w:w="2"/>
        <w:gridCol w:w="2518"/>
        <w:gridCol w:w="2700"/>
        <w:gridCol w:w="2"/>
        <w:gridCol w:w="1618"/>
        <w:gridCol w:w="724"/>
        <w:gridCol w:w="1616"/>
        <w:gridCol w:w="2"/>
        <w:gridCol w:w="554"/>
        <w:gridCol w:w="164"/>
        <w:gridCol w:w="709"/>
        <w:gridCol w:w="2"/>
        <w:gridCol w:w="550"/>
        <w:gridCol w:w="1"/>
        <w:gridCol w:w="718"/>
        <w:gridCol w:w="2"/>
        <w:gridCol w:w="720"/>
        <w:gridCol w:w="2"/>
        <w:gridCol w:w="716"/>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620"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2" w:type="dxa"/>
            <w:gridSpan w:val="2"/>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18"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widowControl/>
              <w:jc w:val="left"/>
              <w:rPr>
                <w:rFonts w:ascii="Times New Roman" w:hAnsi="Times New Roman"/>
                <w:color w:val="000000"/>
                <w:kern w:val="0"/>
                <w:sz w:val="22"/>
              </w:rPr>
            </w:pPr>
          </w:p>
        </w:tc>
        <w:tc>
          <w:tcPr>
            <w:tcW w:w="8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1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18" w:type="dxa"/>
            <w:vMerge w:val="continue"/>
            <w:vAlign w:val="center"/>
          </w:tcPr>
          <w:p>
            <w:pPr>
              <w:widowControl/>
              <w:jc w:val="left"/>
              <w:rPr>
                <w:rFonts w:ascii="黑体" w:hAnsi="宋体" w:eastAsia="黑体" w:cs="宋体"/>
                <w:color w:val="000000"/>
                <w:kern w:val="0"/>
                <w:sz w:val="22"/>
              </w:rPr>
            </w:pPr>
          </w:p>
        </w:tc>
        <w:tc>
          <w:tcPr>
            <w:tcW w:w="2702" w:type="dxa"/>
            <w:gridSpan w:val="2"/>
            <w:vMerge w:val="continue"/>
            <w:vAlign w:val="center"/>
          </w:tcPr>
          <w:p>
            <w:pPr>
              <w:widowControl/>
              <w:jc w:val="left"/>
              <w:rPr>
                <w:rFonts w:ascii="黑体" w:hAnsi="宋体" w:eastAsia="黑体" w:cs="宋体"/>
                <w:color w:val="000000"/>
                <w:kern w:val="0"/>
                <w:sz w:val="22"/>
              </w:rPr>
            </w:pPr>
          </w:p>
        </w:tc>
        <w:tc>
          <w:tcPr>
            <w:tcW w:w="1618" w:type="dxa"/>
            <w:vMerge w:val="continue"/>
            <w:vAlign w:val="center"/>
          </w:tcPr>
          <w:p>
            <w:pPr>
              <w:widowControl/>
              <w:jc w:val="left"/>
              <w:rPr>
                <w:rFonts w:ascii="黑体" w:hAnsi="宋体" w:eastAsia="黑体" w:cs="宋体"/>
                <w:color w:val="000000"/>
                <w:kern w:val="0"/>
                <w:sz w:val="22"/>
              </w:rPr>
            </w:pPr>
          </w:p>
        </w:tc>
        <w:tc>
          <w:tcPr>
            <w:tcW w:w="724" w:type="dxa"/>
            <w:vMerge w:val="continue"/>
            <w:vAlign w:val="center"/>
          </w:tcPr>
          <w:p>
            <w:pPr>
              <w:widowControl/>
              <w:jc w:val="left"/>
              <w:rPr>
                <w:rFonts w:ascii="黑体" w:hAnsi="宋体" w:eastAsia="黑体" w:cs="宋体"/>
                <w:color w:val="000000"/>
                <w:kern w:val="0"/>
                <w:sz w:val="22"/>
              </w:rPr>
            </w:pPr>
          </w:p>
        </w:tc>
        <w:tc>
          <w:tcPr>
            <w:tcW w:w="1618" w:type="dxa"/>
            <w:gridSpan w:val="2"/>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81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r>
            <w:r>
              <w:rPr>
                <w:rFonts w:ascii="仿宋_GB2312" w:hAnsi="宋体" w:eastAsia="仿宋_GB2312"/>
                <w:color w:val="000000"/>
                <w:sz w:val="18"/>
                <w:szCs w:val="18"/>
              </w:rPr>
              <w:t>许可</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建设项目环境影响评价文件审批</w:t>
            </w:r>
          </w:p>
        </w:tc>
        <w:tc>
          <w:tcPr>
            <w:tcW w:w="2520" w:type="dxa"/>
            <w:gridSpan w:val="2"/>
            <w:vAlign w:val="center"/>
          </w:tcPr>
          <w:p>
            <w:pPr>
              <w:pStyle w:val="4"/>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受理环节：受理情况公示、</w:t>
            </w:r>
            <w:r>
              <w:rPr>
                <w:rFonts w:ascii="仿宋_GB2312" w:hAnsi="宋体" w:eastAsia="仿宋_GB2312"/>
                <w:color w:val="000000"/>
                <w:sz w:val="18"/>
                <w:szCs w:val="18"/>
              </w:rPr>
              <w:t>报告书（</w:t>
            </w:r>
            <w:r>
              <w:rPr>
                <w:rFonts w:hint="eastAsia" w:ascii="仿宋_GB2312" w:hAnsi="宋体" w:eastAsia="仿宋_GB2312"/>
                <w:color w:val="000000"/>
                <w:sz w:val="18"/>
                <w:szCs w:val="18"/>
              </w:rPr>
              <w:t>表</w:t>
            </w:r>
            <w:r>
              <w:rPr>
                <w:rFonts w:ascii="仿宋_GB2312" w:hAnsi="宋体" w:eastAsia="仿宋_GB2312"/>
                <w:color w:val="000000"/>
                <w:sz w:val="18"/>
                <w:szCs w:val="18"/>
              </w:rPr>
              <w:t>）</w:t>
            </w:r>
            <w:r>
              <w:rPr>
                <w:rFonts w:hint="eastAsia" w:ascii="仿宋_GB2312" w:hAnsi="宋体" w:eastAsia="仿宋_GB2312"/>
                <w:color w:val="000000"/>
                <w:sz w:val="18"/>
                <w:szCs w:val="18"/>
              </w:rPr>
              <w:t>全本；</w:t>
            </w:r>
          </w:p>
          <w:p>
            <w:pPr>
              <w:pStyle w:val="4"/>
              <w:numPr>
                <w:numId w:val="0"/>
              </w:numPr>
              <w:adjustRightInd w:val="0"/>
              <w:snapToGrid w:val="0"/>
              <w:ind w:leftChars="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拟决定环节：拟审查</w:t>
            </w:r>
            <w:r>
              <w:rPr>
                <w:rFonts w:ascii="仿宋_GB2312" w:hAnsi="宋体" w:eastAsia="仿宋_GB2312"/>
                <w:color w:val="000000"/>
                <w:sz w:val="18"/>
                <w:szCs w:val="18"/>
              </w:rPr>
              <w:t>环评文件基本情况公示</w:t>
            </w:r>
            <w:r>
              <w:rPr>
                <w:rFonts w:hint="eastAsia" w:ascii="仿宋_GB2312" w:hAnsi="宋体" w:eastAsia="仿宋_GB2312"/>
                <w:color w:val="000000"/>
                <w:sz w:val="18"/>
                <w:szCs w:val="18"/>
              </w:rPr>
              <w:t>；</w:t>
            </w:r>
          </w:p>
          <w:p>
            <w:pPr>
              <w:pStyle w:val="4"/>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决定环节：环评批复</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《环境影响评价法》、《放射性污染防治法》、《政府信息公开条例》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vAlign w:val="center"/>
          </w:tcPr>
          <w:p>
            <w:pPr>
              <w:adjustRightInd w:val="0"/>
              <w:snapToGrid w:val="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p>
        </w:tc>
        <w:tc>
          <w:tcPr>
            <w:tcW w:w="810" w:type="dxa"/>
            <w:vMerge w:val="continue"/>
            <w:vAlign w:val="center"/>
          </w:tcPr>
          <w:p>
            <w:pPr>
              <w:adjustRightInd w:val="0"/>
              <w:snapToGrid w:val="0"/>
              <w:jc w:val="center"/>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排污许可证</w:t>
            </w:r>
          </w:p>
        </w:tc>
        <w:tc>
          <w:tcPr>
            <w:tcW w:w="2520" w:type="dxa"/>
            <w:gridSpan w:val="2"/>
            <w:vAlign w:val="center"/>
          </w:tcPr>
          <w:p>
            <w:pPr>
              <w:pStyle w:val="4"/>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排污许可证申请、核发、公示环节</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排污许可管理办法（试行）</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《关于全面推进政务公开工作的意见》、《开展基层政务公开标准化规范化试点工作方案》</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全国排污许可证管理信息平台</w:t>
            </w: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p>
        </w:tc>
        <w:tc>
          <w:tcPr>
            <w:tcW w:w="810" w:type="dxa"/>
            <w:vMerge w:val="continue"/>
            <w:vAlign w:val="center"/>
          </w:tcPr>
          <w:p>
            <w:pPr>
              <w:adjustRightInd w:val="0"/>
              <w:snapToGrid w:val="0"/>
              <w:jc w:val="both"/>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防治污染</w:t>
            </w:r>
            <w:r>
              <w:rPr>
                <w:rFonts w:ascii="仿宋_GB2312" w:hAnsi="宋体" w:eastAsia="仿宋_GB2312"/>
                <w:color w:val="000000"/>
                <w:sz w:val="18"/>
                <w:szCs w:val="18"/>
              </w:rPr>
              <w:t>设施拆除或闲置审批</w:t>
            </w:r>
          </w:p>
        </w:tc>
        <w:tc>
          <w:tcPr>
            <w:tcW w:w="2520" w:type="dxa"/>
            <w:gridSpan w:val="2"/>
            <w:vAlign w:val="center"/>
          </w:tcPr>
          <w:p>
            <w:pPr>
              <w:pStyle w:val="4"/>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企业或单位关闭、闲置、拆除工业固体废物污染环境防治设施、场所的核准结果；企业或单位拆除、闲置环境噪声污染防治设施的审批结果</w:t>
            </w:r>
            <w:r>
              <w:rPr>
                <w:rFonts w:hint="eastAsia" w:ascii="仿宋_GB2312" w:hAnsi="宋体" w:eastAsia="仿宋_GB2312"/>
                <w:color w:val="000000"/>
                <w:sz w:val="18"/>
                <w:szCs w:val="18"/>
                <w:lang w:eastAsia="zh-CN"/>
              </w:rPr>
              <w:t>。</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《固体废物污染环境防治法》、《环境噪声污染防治法》、《政府信息公开条例》、《关于全面推进政务公开工作的意见》、《开展基层政务公开标准化规范化试点工作方案》</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4</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行政许可</w:t>
            </w:r>
          </w:p>
        </w:tc>
        <w:tc>
          <w:tcPr>
            <w:tcW w:w="808" w:type="dxa"/>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危险废</w:t>
            </w:r>
          </w:p>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物经营</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许可证</w:t>
            </w:r>
          </w:p>
        </w:tc>
        <w:tc>
          <w:tcPr>
            <w:tcW w:w="2520" w:type="dxa"/>
            <w:gridSpan w:val="2"/>
            <w:vAlign w:val="center"/>
          </w:tcPr>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受理环节：受理通知书；</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拟决定环节：向</w:t>
            </w:r>
            <w:r>
              <w:rPr>
                <w:rFonts w:ascii="仿宋_GB2312" w:hAnsi="宋体" w:eastAsia="仿宋_GB2312"/>
                <w:color w:val="000000"/>
                <w:sz w:val="18"/>
                <w:szCs w:val="18"/>
              </w:rPr>
              <w:t>有关</w:t>
            </w:r>
            <w:r>
              <w:rPr>
                <w:rFonts w:hint="eastAsia" w:ascii="仿宋_GB2312" w:hAnsi="宋体" w:eastAsia="仿宋_GB2312"/>
                <w:color w:val="000000"/>
                <w:sz w:val="18"/>
                <w:szCs w:val="18"/>
              </w:rPr>
              <w:t>部门</w:t>
            </w:r>
            <w:r>
              <w:rPr>
                <w:rFonts w:ascii="仿宋_GB2312" w:hAnsi="宋体" w:eastAsia="仿宋_GB2312"/>
                <w:color w:val="000000"/>
                <w:sz w:val="18"/>
                <w:szCs w:val="18"/>
              </w:rPr>
              <w:t>和专家</w:t>
            </w:r>
            <w:r>
              <w:rPr>
                <w:rFonts w:hint="eastAsia" w:ascii="仿宋_GB2312" w:hAnsi="宋体" w:eastAsia="仿宋_GB2312"/>
                <w:color w:val="000000"/>
                <w:sz w:val="18"/>
                <w:szCs w:val="18"/>
              </w:rPr>
              <w:t>征求意见、决定</w:t>
            </w:r>
            <w:r>
              <w:rPr>
                <w:rFonts w:ascii="仿宋_GB2312" w:hAnsi="宋体" w:eastAsia="仿宋_GB2312"/>
                <w:color w:val="000000"/>
                <w:sz w:val="18"/>
                <w:szCs w:val="18"/>
              </w:rPr>
              <w:t>前公示</w:t>
            </w:r>
            <w:r>
              <w:rPr>
                <w:rFonts w:hint="eastAsia" w:ascii="仿宋_GB2312" w:hAnsi="宋体" w:eastAsia="仿宋_GB2312"/>
                <w:color w:val="000000"/>
                <w:sz w:val="18"/>
                <w:szCs w:val="18"/>
              </w:rPr>
              <w:t>等；</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决定环节：危险废物经营许可证信息</w:t>
            </w:r>
            <w:r>
              <w:rPr>
                <w:rFonts w:ascii="仿宋_GB2312" w:hAnsi="宋体" w:eastAsia="仿宋_GB2312"/>
                <w:color w:val="000000"/>
                <w:sz w:val="18"/>
                <w:szCs w:val="18"/>
              </w:rPr>
              <w:t>公示</w:t>
            </w:r>
            <w:r>
              <w:rPr>
                <w:rFonts w:hint="eastAsia" w:ascii="仿宋_GB2312" w:hAnsi="宋体" w:eastAsia="仿宋_GB2312"/>
                <w:color w:val="000000"/>
                <w:sz w:val="18"/>
                <w:szCs w:val="18"/>
              </w:rPr>
              <w:t>；</w:t>
            </w:r>
          </w:p>
          <w:p>
            <w:pPr>
              <w:pStyle w:val="4"/>
              <w:numPr>
                <w:numId w:val="0"/>
              </w:numPr>
              <w:adjustRightInd w:val="0"/>
              <w:snapToGrid w:val="0"/>
              <w:ind w:left="0" w:leftChars="0"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4.</w:t>
            </w:r>
            <w:r>
              <w:rPr>
                <w:rFonts w:hint="eastAsia" w:ascii="仿宋_GB2312" w:hAnsi="宋体" w:eastAsia="仿宋_GB2312"/>
                <w:color w:val="000000"/>
                <w:sz w:val="18"/>
                <w:szCs w:val="18"/>
              </w:rPr>
              <w:t>送达环节：送达单</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《固体废物污染环境防治法》、《政府信息公开条例》、《危险废物经营许可证管理办法》、《关于做好下放危险废物经营许可审批工作的通知》</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5</w:t>
            </w:r>
          </w:p>
        </w:tc>
        <w:tc>
          <w:tcPr>
            <w:tcW w:w="81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行政处罚流程</w:t>
            </w:r>
          </w:p>
        </w:tc>
        <w:tc>
          <w:tcPr>
            <w:tcW w:w="2520" w:type="dxa"/>
            <w:gridSpan w:val="2"/>
            <w:vAlign w:val="center"/>
          </w:tcPr>
          <w:p>
            <w:pPr>
              <w:pStyle w:val="4"/>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行政处罚事先告知书；</w:t>
            </w:r>
          </w:p>
          <w:p>
            <w:pPr>
              <w:pStyle w:val="4"/>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行政</w:t>
            </w:r>
            <w:r>
              <w:rPr>
                <w:rFonts w:ascii="仿宋_GB2312" w:hAnsi="宋体" w:eastAsia="仿宋_GB2312"/>
                <w:color w:val="000000"/>
                <w:sz w:val="18"/>
                <w:szCs w:val="18"/>
              </w:rPr>
              <w:t>处罚</w:t>
            </w:r>
            <w:r>
              <w:rPr>
                <w:rFonts w:hint="eastAsia" w:ascii="仿宋_GB2312" w:hAnsi="宋体" w:eastAsia="仿宋_GB2312"/>
                <w:color w:val="000000"/>
                <w:sz w:val="18"/>
                <w:szCs w:val="18"/>
              </w:rPr>
              <w:t>听证通知书；</w:t>
            </w:r>
          </w:p>
          <w:p>
            <w:pPr>
              <w:pStyle w:val="4"/>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处罚执行情况：同意分期（延期）缴纳罚款通知书、督促</w:t>
            </w:r>
            <w:r>
              <w:rPr>
                <w:rFonts w:ascii="仿宋_GB2312" w:hAnsi="宋体" w:eastAsia="仿宋_GB2312"/>
                <w:color w:val="000000"/>
                <w:sz w:val="18"/>
                <w:szCs w:val="18"/>
              </w:rPr>
              <w:t>履行义务</w:t>
            </w:r>
            <w:r>
              <w:rPr>
                <w:rFonts w:hint="eastAsia" w:ascii="仿宋_GB2312" w:hAnsi="宋体" w:eastAsia="仿宋_GB2312"/>
                <w:color w:val="000000"/>
                <w:sz w:val="18"/>
                <w:szCs w:val="18"/>
              </w:rPr>
              <w:t>催告书、强制执行申请书等</w:t>
            </w:r>
          </w:p>
        </w:tc>
        <w:tc>
          <w:tcPr>
            <w:tcW w:w="270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w:t>
            </w:r>
          </w:p>
        </w:tc>
        <w:tc>
          <w:tcPr>
            <w:tcW w:w="1620" w:type="dxa"/>
            <w:gridSpan w:val="2"/>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vMerge w:val="restart"/>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720" w:type="dxa"/>
            <w:gridSpan w:val="3"/>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2" w:type="dxa"/>
            <w:gridSpan w:val="2"/>
            <w:vAlign w:val="center"/>
          </w:tcPr>
          <w:p>
            <w:pPr>
              <w:adjustRightInd w:val="0"/>
              <w:snapToGrid w:val="0"/>
              <w:jc w:val="center"/>
              <w:rPr>
                <w:rFonts w:ascii="仿宋_GB2312" w:hAnsi="宋体" w:eastAsia="仿宋_GB2312"/>
                <w:color w:val="000000"/>
                <w:sz w:val="18"/>
                <w:szCs w:val="18"/>
              </w:rPr>
            </w:pPr>
          </w:p>
        </w:tc>
        <w:tc>
          <w:tcPr>
            <w:tcW w:w="719"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p>
        </w:tc>
        <w:tc>
          <w:tcPr>
            <w:tcW w:w="810" w:type="dxa"/>
            <w:vMerge w:val="continue"/>
            <w:vAlign w:val="center"/>
          </w:tcPr>
          <w:p>
            <w:pPr>
              <w:adjustRightInd w:val="0"/>
              <w:snapToGrid w:val="0"/>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行政处罚决定</w:t>
            </w:r>
          </w:p>
        </w:tc>
        <w:tc>
          <w:tcPr>
            <w:tcW w:w="2520" w:type="dxa"/>
            <w:gridSpan w:val="2"/>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行政处罚决定书（全文公开）</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gridSpan w:val="2"/>
            <w:vMerge w:val="continue"/>
            <w:vAlign w:val="center"/>
          </w:tcPr>
          <w:p>
            <w:pPr>
              <w:adjustRightInd w:val="0"/>
              <w:snapToGrid w:val="0"/>
              <w:rPr>
                <w:rFonts w:ascii="仿宋_GB2312" w:hAnsi="宋体" w:eastAsia="仿宋_GB2312"/>
                <w:color w:val="000000"/>
                <w:sz w:val="18"/>
                <w:szCs w:val="18"/>
              </w:rPr>
            </w:pPr>
          </w:p>
        </w:tc>
        <w:tc>
          <w:tcPr>
            <w:tcW w:w="724" w:type="dxa"/>
            <w:vMerge w:val="continue"/>
            <w:vAlign w:val="center"/>
          </w:tcPr>
          <w:p>
            <w:pPr>
              <w:adjustRightInd w:val="0"/>
              <w:snapToGrid w:val="0"/>
              <w:jc w:val="center"/>
              <w:rPr>
                <w:rFonts w:ascii="仿宋_GB2312" w:hAnsi="宋体" w:eastAsia="仿宋_GB2312"/>
                <w:color w:val="000000"/>
                <w:sz w:val="18"/>
                <w:szCs w:val="18"/>
              </w:rPr>
            </w:pP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hint="eastAsia"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7</w:t>
            </w:r>
          </w:p>
        </w:tc>
        <w:tc>
          <w:tcPr>
            <w:tcW w:w="810" w:type="dxa"/>
            <w:vMerge w:val="continue"/>
            <w:vAlign w:val="center"/>
          </w:tcPr>
          <w:p>
            <w:pPr>
              <w:adjustRightInd w:val="0"/>
              <w:snapToGrid w:val="0"/>
              <w:jc w:val="center"/>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行政强制流程</w:t>
            </w:r>
          </w:p>
        </w:tc>
        <w:tc>
          <w:tcPr>
            <w:tcW w:w="2520" w:type="dxa"/>
            <w:gridSpan w:val="2"/>
            <w:vAlign w:val="center"/>
          </w:tcPr>
          <w:p>
            <w:pPr>
              <w:pStyle w:val="4"/>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查封</w:t>
            </w:r>
            <w:r>
              <w:rPr>
                <w:rFonts w:ascii="仿宋_GB2312" w:hAnsi="宋体" w:eastAsia="仿宋_GB2312"/>
                <w:color w:val="000000"/>
                <w:sz w:val="18"/>
                <w:szCs w:val="18"/>
              </w:rPr>
              <w:t>、扣押清单</w:t>
            </w:r>
            <w:r>
              <w:rPr>
                <w:rFonts w:hint="eastAsia" w:ascii="仿宋_GB2312" w:hAnsi="宋体" w:eastAsia="仿宋_GB2312"/>
                <w:color w:val="000000"/>
                <w:sz w:val="18"/>
                <w:szCs w:val="18"/>
              </w:rPr>
              <w:t>；</w:t>
            </w:r>
          </w:p>
          <w:p>
            <w:pPr>
              <w:pStyle w:val="4"/>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查封</w:t>
            </w:r>
            <w:r>
              <w:rPr>
                <w:rFonts w:ascii="仿宋_GB2312" w:hAnsi="宋体" w:eastAsia="仿宋_GB2312"/>
                <w:color w:val="000000"/>
                <w:sz w:val="18"/>
                <w:szCs w:val="18"/>
              </w:rPr>
              <w:t>（</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延期</w:t>
            </w:r>
            <w:r>
              <w:rPr>
                <w:rFonts w:ascii="仿宋_GB2312" w:hAnsi="宋体" w:eastAsia="仿宋_GB2312"/>
                <w:color w:val="000000"/>
                <w:sz w:val="18"/>
                <w:szCs w:val="18"/>
              </w:rPr>
              <w:t>通知书</w:t>
            </w:r>
            <w:r>
              <w:rPr>
                <w:rFonts w:hint="eastAsia" w:ascii="仿宋_GB2312" w:hAnsi="宋体" w:eastAsia="仿宋_GB2312"/>
                <w:color w:val="000000"/>
                <w:sz w:val="18"/>
                <w:szCs w:val="18"/>
              </w:rPr>
              <w:t>；</w:t>
            </w:r>
          </w:p>
          <w:p>
            <w:pPr>
              <w:pStyle w:val="4"/>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解除</w:t>
            </w:r>
            <w:r>
              <w:rPr>
                <w:rFonts w:ascii="仿宋_GB2312" w:hAnsi="宋体" w:eastAsia="仿宋_GB2312"/>
                <w:color w:val="000000"/>
                <w:sz w:val="18"/>
                <w:szCs w:val="18"/>
              </w:rPr>
              <w:t>查封（</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决定书</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724" w:type="dxa"/>
            <w:textDirection w:val="lrTb"/>
            <w:vAlign w:val="center"/>
          </w:tcPr>
          <w:p>
            <w:pPr>
              <w:adjustRightInd w:val="0"/>
              <w:snapToGrid w:val="0"/>
              <w:jc w:val="center"/>
              <w:rPr>
                <w:rFonts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720" w:type="dxa"/>
            <w:gridSpan w:val="3"/>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2" w:type="dxa"/>
            <w:gridSpan w:val="2"/>
            <w:vAlign w:val="center"/>
          </w:tcPr>
          <w:p>
            <w:pPr>
              <w:adjustRightInd w:val="0"/>
              <w:snapToGrid w:val="0"/>
              <w:jc w:val="center"/>
              <w:rPr>
                <w:rFonts w:ascii="仿宋_GB2312" w:hAnsi="宋体" w:eastAsia="仿宋_GB2312"/>
                <w:color w:val="000000"/>
                <w:sz w:val="18"/>
                <w:szCs w:val="18"/>
              </w:rPr>
            </w:pPr>
          </w:p>
        </w:tc>
        <w:tc>
          <w:tcPr>
            <w:tcW w:w="719"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8</w:t>
            </w:r>
          </w:p>
        </w:tc>
        <w:tc>
          <w:tcPr>
            <w:tcW w:w="810" w:type="dxa"/>
            <w:vMerge w:val="continue"/>
            <w:vAlign w:val="center"/>
          </w:tcPr>
          <w:p>
            <w:pPr>
              <w:adjustRightInd w:val="0"/>
              <w:snapToGrid w:val="0"/>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行政强制决定</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w:t>
            </w:r>
            <w:r>
              <w:rPr>
                <w:rFonts w:hint="eastAsia" w:ascii="仿宋_GB2312" w:hAnsi="宋体" w:eastAsia="仿宋_GB2312"/>
                <w:color w:val="000000"/>
                <w:sz w:val="18"/>
                <w:szCs w:val="18"/>
              </w:rPr>
              <w:t>决定书（全文</w:t>
            </w:r>
            <w:r>
              <w:rPr>
                <w:rFonts w:ascii="仿宋_GB2312" w:hAnsi="宋体" w:eastAsia="仿宋_GB2312"/>
                <w:color w:val="000000"/>
                <w:sz w:val="18"/>
                <w:szCs w:val="18"/>
              </w:rPr>
              <w:t>公开</w:t>
            </w:r>
            <w:r>
              <w:rPr>
                <w:rFonts w:hint="eastAsia" w:ascii="仿宋_GB2312" w:hAnsi="宋体" w:eastAsia="仿宋_GB2312"/>
                <w:color w:val="000000"/>
                <w:sz w:val="18"/>
                <w:szCs w:val="18"/>
              </w:rPr>
              <w:t>）</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bookmarkStart w:id="1" w:name="_GoBack"/>
            <w:bookmarkEnd w:id="1"/>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9</w:t>
            </w:r>
          </w:p>
        </w:tc>
        <w:tc>
          <w:tcPr>
            <w:tcW w:w="810" w:type="dxa"/>
            <w:vMerge w:val="continue"/>
            <w:vAlign w:val="center"/>
          </w:tcPr>
          <w:p>
            <w:pPr>
              <w:adjustRightInd w:val="0"/>
              <w:snapToGrid w:val="0"/>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t>命令</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责令</w:t>
            </w:r>
            <w:r>
              <w:rPr>
                <w:rFonts w:ascii="仿宋_GB2312" w:hAnsi="宋体" w:eastAsia="仿宋_GB2312"/>
                <w:color w:val="000000"/>
                <w:sz w:val="18"/>
                <w:szCs w:val="18"/>
              </w:rPr>
              <w:t>改正违法行为决定书（</w:t>
            </w:r>
            <w:r>
              <w:rPr>
                <w:rFonts w:hint="eastAsia" w:ascii="仿宋_GB2312" w:hAnsi="宋体" w:eastAsia="仿宋_GB2312"/>
                <w:color w:val="000000"/>
                <w:sz w:val="18"/>
                <w:szCs w:val="18"/>
              </w:rPr>
              <w:t>全文</w:t>
            </w:r>
            <w:r>
              <w:rPr>
                <w:rFonts w:ascii="仿宋_GB2312" w:hAnsi="宋体" w:eastAsia="仿宋_GB2312"/>
                <w:color w:val="000000"/>
                <w:sz w:val="18"/>
                <w:szCs w:val="18"/>
              </w:rPr>
              <w:t>公开）</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Merge w:val="continue"/>
            <w:vAlign w:val="center"/>
          </w:tcPr>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10</w:t>
            </w:r>
          </w:p>
        </w:tc>
        <w:tc>
          <w:tcPr>
            <w:tcW w:w="81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r>
            <w:r>
              <w:rPr>
                <w:rFonts w:hint="eastAsia" w:ascii="仿宋_GB2312" w:hAnsi="宋体" w:eastAsia="仿宋_GB2312"/>
                <w:color w:val="000000"/>
                <w:sz w:val="18"/>
                <w:szCs w:val="18"/>
              </w:rPr>
              <w:t>管理</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行政奖励</w:t>
            </w:r>
          </w:p>
        </w:tc>
        <w:tc>
          <w:tcPr>
            <w:tcW w:w="2520" w:type="dxa"/>
            <w:gridSpan w:val="2"/>
            <w:vAlign w:val="center"/>
          </w:tcPr>
          <w:p>
            <w:pPr>
              <w:pStyle w:val="4"/>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奖励办法、奖励公告、奖励决定</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810" w:type="dxa"/>
            <w:vMerge w:val="continue"/>
            <w:vAlign w:val="center"/>
          </w:tcPr>
          <w:p>
            <w:pPr>
              <w:adjustRightInd w:val="0"/>
              <w:snapToGrid w:val="0"/>
              <w:jc w:val="center"/>
              <w:rPr>
                <w:rFonts w:ascii="仿宋_GB2312" w:hAnsi="宋体" w:eastAsia="仿宋_GB2312"/>
                <w:color w:val="000000"/>
                <w:sz w:val="18"/>
                <w:szCs w:val="18"/>
              </w:rPr>
            </w:pPr>
          </w:p>
        </w:tc>
        <w:tc>
          <w:tcPr>
            <w:tcW w:w="808" w:type="dxa"/>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行政确认</w:t>
            </w:r>
          </w:p>
        </w:tc>
        <w:tc>
          <w:tcPr>
            <w:tcW w:w="2520" w:type="dxa"/>
            <w:gridSpan w:val="2"/>
            <w:vAlign w:val="center"/>
          </w:tcPr>
          <w:p>
            <w:pPr>
              <w:pStyle w:val="4"/>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运行环节：受理、确认、送达、事后监管；责任事项</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81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r>
            <w:r>
              <w:rPr>
                <w:rFonts w:hint="eastAsia" w:ascii="仿宋_GB2312" w:hAnsi="宋体" w:eastAsia="仿宋_GB2312"/>
                <w:color w:val="000000"/>
                <w:sz w:val="18"/>
                <w:szCs w:val="18"/>
              </w:rPr>
              <w:t>管理</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行政裁决和</w:t>
            </w:r>
            <w:r>
              <w:rPr>
                <w:rFonts w:ascii="仿宋_GB2312" w:hAnsi="宋体" w:eastAsia="仿宋_GB2312"/>
                <w:color w:val="000000"/>
                <w:sz w:val="18"/>
                <w:szCs w:val="18"/>
              </w:rPr>
              <w:t>行政调解</w:t>
            </w:r>
          </w:p>
        </w:tc>
        <w:tc>
          <w:tcPr>
            <w:tcW w:w="2520" w:type="dxa"/>
            <w:gridSpan w:val="2"/>
            <w:vAlign w:val="center"/>
          </w:tcPr>
          <w:p>
            <w:pPr>
              <w:pStyle w:val="4"/>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运行环节：受理、审理、裁决或</w:t>
            </w:r>
            <w:r>
              <w:rPr>
                <w:rFonts w:ascii="仿宋_GB2312" w:hAnsi="宋体" w:eastAsia="仿宋_GB2312"/>
                <w:color w:val="000000"/>
                <w:sz w:val="18"/>
                <w:szCs w:val="18"/>
              </w:rPr>
              <w:t>调解</w:t>
            </w:r>
            <w:r>
              <w:rPr>
                <w:rFonts w:hint="eastAsia" w:ascii="仿宋_GB2312" w:hAnsi="宋体" w:eastAsia="仿宋_GB2312"/>
                <w:color w:val="000000"/>
                <w:sz w:val="18"/>
                <w:szCs w:val="18"/>
              </w:rPr>
              <w:t>、执行；责任事项</w:t>
            </w:r>
          </w:p>
        </w:tc>
        <w:tc>
          <w:tcPr>
            <w:tcW w:w="2700" w:type="dxa"/>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《环境保护法》、《水污染防治法》、《噪声污染防治法》、《</w:t>
            </w:r>
            <w:r>
              <w:rPr>
                <w:rFonts w:ascii="仿宋_GB2312" w:hAnsi="宋体" w:eastAsia="仿宋_GB2312"/>
                <w:color w:val="000000"/>
                <w:sz w:val="18"/>
                <w:szCs w:val="18"/>
              </w:rPr>
              <w:t>土壤污染防治法</w:t>
            </w:r>
            <w:r>
              <w:rPr>
                <w:rFonts w:hint="eastAsia" w:ascii="仿宋_GB2312" w:hAnsi="宋体" w:eastAsia="仿宋_GB2312"/>
                <w:color w:val="000000"/>
                <w:sz w:val="18"/>
                <w:szCs w:val="18"/>
              </w:rPr>
              <w:t>》、《固体废物污染环境防治法》、《政府信息公开条例》、《关于全面推进政务公开工作的意见》</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hint="eastAsia"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3</w:t>
            </w:r>
          </w:p>
        </w:tc>
        <w:tc>
          <w:tcPr>
            <w:tcW w:w="810" w:type="dxa"/>
            <w:vMerge w:val="continue"/>
            <w:vAlign w:val="center"/>
          </w:tcPr>
          <w:p>
            <w:pPr>
              <w:adjustRightInd w:val="0"/>
              <w:snapToGrid w:val="0"/>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行政检查</w:t>
            </w:r>
          </w:p>
        </w:tc>
        <w:tc>
          <w:tcPr>
            <w:tcW w:w="2520" w:type="dxa"/>
            <w:gridSpan w:val="2"/>
            <w:vAlign w:val="center"/>
          </w:tcPr>
          <w:p>
            <w:pPr>
              <w:pStyle w:val="4"/>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运行环节：制定方案、实施检查、事后监管；责任事项</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重大建设项目环境管理</w:t>
            </w:r>
          </w:p>
        </w:tc>
        <w:tc>
          <w:tcPr>
            <w:tcW w:w="2520" w:type="dxa"/>
            <w:gridSpan w:val="2"/>
            <w:vAlign w:val="center"/>
          </w:tcPr>
          <w:p>
            <w:pPr>
              <w:pStyle w:val="4"/>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重大建设项目生态环境行政许可情况；</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重大建设项目落实生态</w:t>
            </w:r>
            <w:r>
              <w:rPr>
                <w:rFonts w:ascii="仿宋_GB2312" w:hAnsi="宋体" w:eastAsia="仿宋_GB2312"/>
                <w:color w:val="000000"/>
                <w:sz w:val="18"/>
                <w:szCs w:val="18"/>
              </w:rPr>
              <w:t>环境</w:t>
            </w:r>
            <w:r>
              <w:rPr>
                <w:rFonts w:hint="eastAsia" w:ascii="仿宋_GB2312" w:hAnsi="宋体" w:eastAsia="仿宋_GB2312"/>
                <w:color w:val="000000"/>
                <w:sz w:val="18"/>
                <w:szCs w:val="18"/>
                <w:lang w:eastAsia="zh-CN"/>
              </w:rPr>
              <w:t>保护</w:t>
            </w:r>
            <w:r>
              <w:rPr>
                <w:rFonts w:ascii="仿宋_GB2312" w:hAnsi="宋体" w:eastAsia="仿宋_GB2312"/>
                <w:color w:val="000000"/>
                <w:sz w:val="18"/>
                <w:szCs w:val="18"/>
              </w:rPr>
              <w:t>要求</w:t>
            </w:r>
            <w:r>
              <w:rPr>
                <w:rFonts w:hint="eastAsia" w:ascii="仿宋_GB2312" w:hAnsi="宋体" w:eastAsia="仿宋_GB2312"/>
                <w:color w:val="000000"/>
                <w:sz w:val="18"/>
                <w:szCs w:val="18"/>
              </w:rPr>
              <w:t>情况；</w:t>
            </w:r>
          </w:p>
          <w:p>
            <w:pPr>
              <w:pStyle w:val="4"/>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重大建设项目生态</w:t>
            </w:r>
            <w:r>
              <w:rPr>
                <w:rFonts w:ascii="仿宋_GB2312" w:hAnsi="宋体" w:eastAsia="仿宋_GB2312"/>
                <w:color w:val="000000"/>
                <w:sz w:val="18"/>
                <w:szCs w:val="18"/>
              </w:rPr>
              <w:t>环境监督</w:t>
            </w:r>
            <w:r>
              <w:rPr>
                <w:rFonts w:hint="eastAsia" w:ascii="仿宋_GB2312" w:hAnsi="宋体" w:eastAsia="仿宋_GB2312"/>
                <w:color w:val="000000"/>
                <w:sz w:val="18"/>
                <w:szCs w:val="18"/>
              </w:rPr>
              <w:t>管理情况</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5</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生态环境保护督察</w:t>
            </w:r>
          </w:p>
        </w:tc>
        <w:tc>
          <w:tcPr>
            <w:tcW w:w="2520" w:type="dxa"/>
            <w:gridSpan w:val="2"/>
            <w:vAlign w:val="center"/>
          </w:tcPr>
          <w:p>
            <w:pPr>
              <w:numPr>
                <w:numId w:val="0"/>
              </w:numPr>
              <w:adjustRightInd w:val="0"/>
              <w:snapToGrid w:val="0"/>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1.督察进驻阶段：督察对象、进驻时限、受理投诉、举报途径和方式；边督边改情况：受理投诉、举报和问题查处、整改情况；</w:t>
            </w:r>
          </w:p>
          <w:p>
            <w:pPr>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lang w:eastAsia="zh-CN"/>
              </w:rPr>
              <w:t>督察反馈阶段；</w:t>
            </w:r>
            <w:r>
              <w:rPr>
                <w:rFonts w:hint="eastAsia" w:ascii="仿宋_GB2312" w:hAnsi="宋体" w:eastAsia="仿宋_GB2312"/>
                <w:color w:val="000000"/>
                <w:sz w:val="18"/>
                <w:szCs w:val="18"/>
                <w:lang w:val="en-US" w:eastAsia="zh-CN"/>
              </w:rPr>
              <w:t>督察报告主要内容；</w:t>
            </w:r>
          </w:p>
          <w:p>
            <w:pPr>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lang w:eastAsia="zh-CN"/>
              </w:rPr>
              <w:t>督察整改阶段：地（市）督察整改方案和反馈问题整改情况；</w:t>
            </w:r>
          </w:p>
          <w:p>
            <w:pPr>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4.</w:t>
            </w:r>
            <w:r>
              <w:rPr>
                <w:rFonts w:hint="eastAsia" w:ascii="仿宋_GB2312" w:hAnsi="宋体" w:eastAsia="仿宋_GB2312"/>
                <w:color w:val="000000"/>
                <w:sz w:val="18"/>
                <w:szCs w:val="18"/>
                <w:lang w:eastAsia="zh-CN"/>
              </w:rPr>
              <w:t>自治区生态环境保护督察及“回头看”参照以上环节公开</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中央生态环境保护督察工作规定</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hint="default" w:ascii="仿宋_GB2312" w:hAnsi="宋体" w:eastAsia="仿宋_GB2312"/>
                <w:color w:val="000000"/>
                <w:kern w:val="2"/>
                <w:sz w:val="18"/>
                <w:szCs w:val="18"/>
                <w:lang w:val="en-US" w:eastAsia="zh-CN" w:bidi="ar-SA"/>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6</w:t>
            </w:r>
          </w:p>
        </w:tc>
        <w:tc>
          <w:tcPr>
            <w:tcW w:w="810" w:type="dxa"/>
            <w:vMerge w:val="restart"/>
            <w:vAlign w:val="center"/>
          </w:tcPr>
          <w:p>
            <w:pPr>
              <w:adjustRightInd w:val="0"/>
              <w:snapToGrid w:val="0"/>
              <w:jc w:val="center"/>
              <w:rPr>
                <w:rFonts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其他行政职责</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生态建设</w:t>
            </w:r>
          </w:p>
        </w:tc>
        <w:tc>
          <w:tcPr>
            <w:tcW w:w="2520" w:type="dxa"/>
            <w:gridSpan w:val="2"/>
            <w:vAlign w:val="center"/>
          </w:tcPr>
          <w:p>
            <w:pPr>
              <w:pStyle w:val="4"/>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生态</w:t>
            </w:r>
            <w:r>
              <w:rPr>
                <w:rFonts w:hint="eastAsia" w:ascii="仿宋_GB2312" w:hAnsi="宋体" w:eastAsia="仿宋_GB2312"/>
                <w:color w:val="000000"/>
                <w:sz w:val="18"/>
                <w:szCs w:val="18"/>
                <w:lang w:val="en-US" w:eastAsia="zh-CN"/>
              </w:rPr>
              <w:t>文明建设示范</w:t>
            </w:r>
            <w:r>
              <w:rPr>
                <w:rFonts w:hint="eastAsia" w:ascii="仿宋_GB2312" w:hAnsi="宋体" w:eastAsia="仿宋_GB2312"/>
                <w:color w:val="000000"/>
                <w:sz w:val="18"/>
                <w:szCs w:val="18"/>
              </w:rPr>
              <w:t>乡镇、村</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居</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创建情况；</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生态文明建设示范区</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市、县</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和“绿水青山就是金山银山”实践创新基地创建情况；</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农村环境综合整治情况；</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4.各类自然保护地生态环境监管执法信息；</w:t>
            </w:r>
          </w:p>
          <w:p>
            <w:pPr>
              <w:pStyle w:val="4"/>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w:t>
            </w:r>
            <w:r>
              <w:rPr>
                <w:rFonts w:hint="eastAsia" w:ascii="仿宋_GB2312" w:hAnsi="宋体" w:eastAsia="仿宋_GB2312"/>
                <w:color w:val="000000"/>
                <w:sz w:val="18"/>
                <w:szCs w:val="18"/>
              </w:rPr>
              <w:t>生物多样性保护、生物物种资源保护相关信息</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西藏自治区生态文明建设示范区管理制度体系</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7</w:t>
            </w:r>
          </w:p>
        </w:tc>
        <w:tc>
          <w:tcPr>
            <w:tcW w:w="810" w:type="dxa"/>
            <w:vMerge w:val="continue"/>
            <w:vAlign w:val="center"/>
          </w:tcPr>
          <w:p>
            <w:pPr>
              <w:adjustRightInd w:val="0"/>
              <w:snapToGrid w:val="0"/>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企业事业单位突发环境事件应急预案备案情况</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《环境保护法》、《突发事件应对法》、《政府信息公开条例》、《企业事业单位突发环境事件应急预案备案管理办法（试行）》</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西藏自治区突发环境事件应急预案</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hint="eastAsia"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18</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生态环境保护政策与业务咨询</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生态环境保护政策与业务咨询答复函</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19</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生态环境主题活动组织情况</w:t>
            </w:r>
          </w:p>
        </w:tc>
        <w:tc>
          <w:tcPr>
            <w:tcW w:w="2520" w:type="dxa"/>
            <w:gridSpan w:val="2"/>
            <w:vAlign w:val="center"/>
          </w:tcPr>
          <w:p>
            <w:pPr>
              <w:pStyle w:val="4"/>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环保公众开放活动通知、活动开展情况；</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参观环境宣传教育基地活动开展情况；</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在公共场所开展环境保护宣传教育活动通知、活动开展情况；</w:t>
            </w:r>
          </w:p>
          <w:p>
            <w:pPr>
              <w:pStyle w:val="4"/>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4.</w:t>
            </w:r>
            <w:r>
              <w:rPr>
                <w:rFonts w:hint="eastAsia" w:ascii="仿宋_GB2312" w:hAnsi="宋体" w:eastAsia="仿宋_GB2312"/>
                <w:color w:val="000000"/>
                <w:sz w:val="18"/>
                <w:szCs w:val="18"/>
              </w:rPr>
              <w:t>六五环境日、全国低碳日等主题宣传活动通知、活动开展情况；</w:t>
            </w:r>
          </w:p>
          <w:p>
            <w:pPr>
              <w:pStyle w:val="4"/>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w:t>
            </w:r>
            <w:r>
              <w:rPr>
                <w:rFonts w:hint="eastAsia" w:ascii="仿宋_GB2312" w:hAnsi="宋体" w:eastAsia="仿宋_GB2312"/>
                <w:color w:val="000000"/>
                <w:sz w:val="18"/>
                <w:szCs w:val="18"/>
              </w:rPr>
              <w:t>开展生态、环保类教育培训活动通知、活动开展情况</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20</w:t>
            </w:r>
          </w:p>
        </w:tc>
        <w:tc>
          <w:tcPr>
            <w:tcW w:w="81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生态环境污染举报咨询</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w:t>
            </w:r>
            <w:r>
              <w:rPr>
                <w:rFonts w:ascii="仿宋_GB2312" w:hAnsi="宋体" w:eastAsia="仿宋_GB2312"/>
                <w:color w:val="000000"/>
                <w:sz w:val="18"/>
                <w:szCs w:val="18"/>
              </w:rPr>
              <w:t>举报、</w:t>
            </w:r>
            <w:r>
              <w:rPr>
                <w:rFonts w:hint="eastAsia" w:ascii="仿宋_GB2312" w:hAnsi="宋体" w:eastAsia="仿宋_GB2312"/>
                <w:color w:val="000000"/>
                <w:sz w:val="18"/>
                <w:szCs w:val="18"/>
              </w:rPr>
              <w:t>咨询方式（电话、地址等）</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《环境保护法》、《政府信息公开条例》、《环境信访办法》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1</w:t>
            </w:r>
          </w:p>
        </w:tc>
        <w:tc>
          <w:tcPr>
            <w:tcW w:w="810" w:type="dxa"/>
            <w:vMerge w:val="continue"/>
            <w:vAlign w:val="center"/>
          </w:tcPr>
          <w:p>
            <w:pPr>
              <w:adjustRightInd w:val="0"/>
              <w:snapToGrid w:val="0"/>
              <w:jc w:val="center"/>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污染源监督监测</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w:t>
            </w:r>
            <w:r>
              <w:rPr>
                <w:rFonts w:ascii="仿宋_GB2312" w:hAnsi="宋体" w:eastAsia="仿宋_GB2312"/>
                <w:color w:val="000000"/>
                <w:sz w:val="18"/>
                <w:szCs w:val="18"/>
              </w:rPr>
              <w:t>单位</w:t>
            </w:r>
            <w:r>
              <w:rPr>
                <w:rFonts w:hint="eastAsia" w:ascii="仿宋_GB2312" w:hAnsi="宋体" w:eastAsia="仿宋_GB2312"/>
                <w:color w:val="000000"/>
                <w:sz w:val="18"/>
                <w:szCs w:val="18"/>
              </w:rPr>
              <w:t>监督性监测信息</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《政府信息公开条例》、《国家重点监控企业污染源监督性监测及信息公开办法》、《国家生态环境监测方案》、每年印发的全国</w:t>
            </w:r>
            <w:r>
              <w:rPr>
                <w:rFonts w:hint="eastAsia" w:ascii="仿宋_GB2312" w:hAnsi="宋体" w:eastAsia="仿宋_GB2312"/>
                <w:color w:val="000000"/>
                <w:sz w:val="18"/>
                <w:szCs w:val="18"/>
                <w:lang w:val="en-US" w:eastAsia="zh-CN"/>
              </w:rPr>
              <w:t>和全区</w:t>
            </w:r>
            <w:r>
              <w:rPr>
                <w:rFonts w:hint="eastAsia" w:ascii="仿宋_GB2312" w:hAnsi="宋体" w:eastAsia="仿宋_GB2312"/>
                <w:color w:val="000000"/>
                <w:sz w:val="18"/>
                <w:szCs w:val="18"/>
              </w:rPr>
              <w:t>生态环境监测工作要点</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2</w:t>
            </w:r>
          </w:p>
        </w:tc>
        <w:tc>
          <w:tcPr>
            <w:tcW w:w="810" w:type="dxa"/>
            <w:vMerge w:val="continue"/>
            <w:vAlign w:val="center"/>
          </w:tcPr>
          <w:p>
            <w:pPr>
              <w:adjustRightInd w:val="0"/>
              <w:snapToGrid w:val="0"/>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污染源信息发布</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重点排污单位基本情况</w:t>
            </w:r>
            <w:r>
              <w:rPr>
                <w:rFonts w:ascii="仿宋_GB2312" w:hAnsi="宋体" w:eastAsia="仿宋_GB2312"/>
                <w:color w:val="000000"/>
                <w:sz w:val="18"/>
                <w:szCs w:val="18"/>
              </w:rPr>
              <w:t>、</w:t>
            </w:r>
            <w:r>
              <w:rPr>
                <w:rFonts w:hint="eastAsia" w:ascii="仿宋_GB2312" w:hAnsi="宋体" w:eastAsia="仿宋_GB2312"/>
                <w:color w:val="000000"/>
                <w:sz w:val="18"/>
                <w:szCs w:val="18"/>
              </w:rPr>
              <w:t>总量控制、污染防治等信息，重点</w:t>
            </w:r>
            <w:r>
              <w:rPr>
                <w:rFonts w:ascii="仿宋_GB2312" w:hAnsi="宋体" w:eastAsia="仿宋_GB2312"/>
                <w:color w:val="000000"/>
                <w:sz w:val="18"/>
                <w:szCs w:val="18"/>
              </w:rPr>
              <w:t>排污单位</w:t>
            </w:r>
            <w:r>
              <w:rPr>
                <w:rFonts w:hint="eastAsia" w:ascii="仿宋_GB2312" w:hAnsi="宋体" w:eastAsia="仿宋_GB2312"/>
                <w:color w:val="000000"/>
                <w:sz w:val="18"/>
                <w:szCs w:val="18"/>
              </w:rPr>
              <w:t>环境信息公开情况监管信息</w:t>
            </w:r>
          </w:p>
        </w:tc>
        <w:tc>
          <w:tcPr>
            <w:tcW w:w="270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w:t>
            </w:r>
          </w:p>
        </w:tc>
        <w:tc>
          <w:tcPr>
            <w:tcW w:w="1620" w:type="dxa"/>
            <w:gridSpan w:val="2"/>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vMerge w:val="restart"/>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3</w:t>
            </w:r>
          </w:p>
        </w:tc>
        <w:tc>
          <w:tcPr>
            <w:tcW w:w="810" w:type="dxa"/>
            <w:vMerge w:val="continue"/>
            <w:vAlign w:val="center"/>
          </w:tcPr>
          <w:p>
            <w:pPr>
              <w:adjustRightInd w:val="0"/>
              <w:snapToGrid w:val="0"/>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生态环境举报信访</w:t>
            </w:r>
            <w:r>
              <w:rPr>
                <w:rFonts w:ascii="仿宋_GB2312" w:hAnsi="宋体" w:eastAsia="仿宋_GB2312"/>
                <w:color w:val="000000"/>
                <w:sz w:val="18"/>
                <w:szCs w:val="18"/>
              </w:rPr>
              <w:t>信息</w:t>
            </w:r>
            <w:r>
              <w:rPr>
                <w:rFonts w:hint="eastAsia" w:ascii="仿宋_GB2312" w:hAnsi="宋体" w:eastAsia="仿宋_GB2312"/>
                <w:color w:val="000000"/>
                <w:sz w:val="18"/>
                <w:szCs w:val="18"/>
              </w:rPr>
              <w:t>发布</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公开重点生态环境举报、信访案件及处理情况</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gridSpan w:val="2"/>
            <w:vMerge w:val="continue"/>
            <w:vAlign w:val="center"/>
          </w:tcPr>
          <w:p>
            <w:pPr>
              <w:adjustRightInd w:val="0"/>
              <w:snapToGrid w:val="0"/>
              <w:rPr>
                <w:rFonts w:ascii="仿宋_GB2312" w:hAnsi="宋体" w:eastAsia="仿宋_GB2312"/>
                <w:color w:val="000000"/>
                <w:sz w:val="18"/>
                <w:szCs w:val="18"/>
              </w:rPr>
            </w:pPr>
          </w:p>
        </w:tc>
        <w:tc>
          <w:tcPr>
            <w:tcW w:w="724" w:type="dxa"/>
            <w:vMerge w:val="continue"/>
            <w:vAlign w:val="center"/>
          </w:tcPr>
          <w:p>
            <w:pPr>
              <w:adjustRightInd w:val="0"/>
              <w:snapToGrid w:val="0"/>
              <w:jc w:val="center"/>
              <w:rPr>
                <w:rFonts w:ascii="仿宋_GB2312" w:hAnsi="宋体" w:eastAsia="仿宋_GB2312"/>
                <w:color w:val="000000"/>
                <w:sz w:val="18"/>
                <w:szCs w:val="18"/>
              </w:rPr>
            </w:pPr>
          </w:p>
        </w:tc>
        <w:tc>
          <w:tcPr>
            <w:tcW w:w="1616" w:type="dxa"/>
            <w:vMerge w:val="continue"/>
            <w:vAlign w:val="center"/>
          </w:tcPr>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4</w:t>
            </w:r>
          </w:p>
        </w:tc>
        <w:tc>
          <w:tcPr>
            <w:tcW w:w="810" w:type="dxa"/>
            <w:vMerge w:val="continue"/>
            <w:vAlign w:val="center"/>
          </w:tcPr>
          <w:p>
            <w:pPr>
              <w:adjustRightInd w:val="0"/>
              <w:snapToGrid w:val="0"/>
              <w:jc w:val="center"/>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生态环境质量信息发布</w:t>
            </w:r>
          </w:p>
        </w:tc>
        <w:tc>
          <w:tcPr>
            <w:tcW w:w="2520" w:type="dxa"/>
            <w:gridSpan w:val="2"/>
            <w:vAlign w:val="center"/>
          </w:tcPr>
          <w:p>
            <w:pPr>
              <w:numPr>
                <w:numId w:val="0"/>
              </w:num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水环境质量信息（地表水监测结果和集中式生活饮用水水源水质状况报告）；</w:t>
            </w:r>
          </w:p>
          <w:p>
            <w:pPr>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实时空气质量指数（AQI）和PM2.5浓度；</w:t>
            </w:r>
          </w:p>
          <w:p>
            <w:pPr>
              <w:numPr>
                <w:numId w:val="0"/>
              </w:num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声环境功能区监测结果（包括声环境功能区类别、监测点位、执行标准、监测结果）；</w:t>
            </w:r>
          </w:p>
          <w:p>
            <w:pPr>
              <w:numPr>
                <w:numId w:val="0"/>
              </w:numPr>
              <w:adjustRightInd w:val="0"/>
              <w:snapToGrid w:val="0"/>
              <w:ind w:left="0" w:leftChars="0"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4.</w:t>
            </w:r>
            <w:r>
              <w:rPr>
                <w:rFonts w:hint="eastAsia" w:ascii="仿宋_GB2312" w:hAnsi="宋体" w:eastAsia="仿宋_GB2312"/>
                <w:color w:val="000000"/>
                <w:sz w:val="18"/>
                <w:szCs w:val="18"/>
              </w:rPr>
              <w:t>其他环境质量信息</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《环境保护法》、《政府信息公开条例》、《国务院关于印发水污染防治行动计划的通知》，《</w:t>
            </w:r>
            <w:r>
              <w:rPr>
                <w:rFonts w:hint="eastAsia" w:ascii="仿宋_GB2312" w:hAnsi="宋体" w:eastAsia="仿宋_GB2312"/>
                <w:color w:val="000000"/>
                <w:sz w:val="18"/>
                <w:szCs w:val="18"/>
                <w:lang w:val="en-US" w:eastAsia="zh-CN"/>
              </w:rPr>
              <w:t>西藏自治区生态环境保护条例</w:t>
            </w:r>
            <w:r>
              <w:rPr>
                <w:rFonts w:hint="eastAsia" w:ascii="仿宋_GB2312" w:hAnsi="宋体" w:eastAsia="仿宋_GB2312"/>
                <w:color w:val="000000"/>
                <w:sz w:val="18"/>
                <w:szCs w:val="18"/>
                <w:lang w:eastAsia="zh-CN"/>
              </w:rPr>
              <w:t>》、《西藏自治区人民政府关于印发大气污染防治行动计划实施细则的通知》、《</w:t>
            </w:r>
            <w:r>
              <w:rPr>
                <w:rFonts w:hint="eastAsia" w:ascii="仿宋_GB2312" w:hAnsi="宋体" w:eastAsia="仿宋_GB2312"/>
                <w:color w:val="000000"/>
                <w:sz w:val="18"/>
                <w:szCs w:val="18"/>
              </w:rPr>
              <w:t>西藏自治区人民政府办公厅关于印发西藏自治区水污染防治行动计划工作方案的通知</w:t>
            </w:r>
            <w:r>
              <w:rPr>
                <w:rFonts w:hint="eastAsia" w:ascii="仿宋_GB2312" w:hAnsi="宋体" w:eastAsia="仿宋_GB2312"/>
                <w:color w:val="000000"/>
                <w:sz w:val="18"/>
                <w:szCs w:val="18"/>
                <w:lang w:eastAsia="zh-CN"/>
              </w:rPr>
              <w:t>》</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pStyle w:val="4"/>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5</w:t>
            </w:r>
          </w:p>
        </w:tc>
        <w:tc>
          <w:tcPr>
            <w:tcW w:w="810" w:type="dxa"/>
            <w:vMerge w:val="continue"/>
            <w:vAlign w:val="center"/>
          </w:tcPr>
          <w:p>
            <w:pPr>
              <w:adjustRightInd w:val="0"/>
              <w:snapToGrid w:val="0"/>
              <w:rPr>
                <w:rFonts w:ascii="仿宋_GB2312" w:hAnsi="宋体" w:eastAsia="仿宋_GB2312"/>
                <w:color w:val="000000"/>
                <w:sz w:val="18"/>
                <w:szCs w:val="18"/>
              </w:rPr>
            </w:pPr>
          </w:p>
        </w:tc>
        <w:tc>
          <w:tcPr>
            <w:tcW w:w="808"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生态环境统计报告</w:t>
            </w:r>
          </w:p>
        </w:tc>
        <w:tc>
          <w:tcPr>
            <w:tcW w:w="25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本行政机关的政府信息公开工作年度报告、环境统计年度报告</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gridSpan w:val="2"/>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自该信息形成或者变更之日起20个工作日内;政府信息公开工作年度报告按照《政府信息公开条例》要求的时限公开</w:t>
            </w:r>
          </w:p>
        </w:tc>
        <w:tc>
          <w:tcPr>
            <w:tcW w:w="724" w:type="dxa"/>
            <w:textDirection w:val="lrTb"/>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生态环境局工布江达县分局</w:t>
            </w:r>
          </w:p>
        </w:tc>
        <w:tc>
          <w:tcPr>
            <w:tcW w:w="161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p>
        </w:tc>
        <w:tc>
          <w:tcPr>
            <w:tcW w:w="720" w:type="dxa"/>
            <w:gridSpan w:val="3"/>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2" w:type="dxa"/>
            <w:gridSpan w:val="2"/>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19" w:type="dxa"/>
            <w:gridSpan w:val="2"/>
            <w:vAlign w:val="center"/>
          </w:tcPr>
          <w:p>
            <w:pPr>
              <w:adjustRightInd w:val="0"/>
              <w:snapToGrid w:val="0"/>
              <w:jc w:val="center"/>
              <w:rPr>
                <w:rFonts w:ascii="仿宋_GB2312" w:hAnsi="宋体" w:eastAsia="仿宋_GB2312"/>
                <w:color w:val="000000"/>
                <w:sz w:val="18"/>
                <w:szCs w:val="18"/>
              </w:rPr>
            </w:pPr>
          </w:p>
        </w:tc>
        <w:tc>
          <w:tcPr>
            <w:tcW w:w="724" w:type="dxa"/>
            <w:gridSpan w:val="3"/>
            <w:vAlign w:val="center"/>
          </w:tcPr>
          <w:p>
            <w:pPr>
              <w:adjustRightInd w:val="0"/>
              <w:snapToGrid w:val="0"/>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716" w:type="dxa"/>
            <w:vAlign w:val="center"/>
          </w:tcPr>
          <w:p>
            <w:pPr>
              <w:adjustRightInd w:val="0"/>
              <w:snapToGrid w:val="0"/>
              <w:jc w:val="center"/>
              <w:rPr>
                <w:rFonts w:hint="eastAsia" w:ascii="仿宋_GB2312" w:hAnsi="宋体" w:eastAsia="仿宋_GB2312"/>
                <w:color w:val="000000"/>
                <w:sz w:val="18"/>
                <w:szCs w:val="18"/>
              </w:rPr>
            </w:pPr>
          </w:p>
        </w:tc>
        <w:tc>
          <w:tcPr>
            <w:tcW w:w="2" w:type="dxa"/>
            <w:vAlign w:val="center"/>
          </w:tcPr>
          <w:p>
            <w:pPr>
              <w:widowControl/>
              <w:jc w:val="cente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paragraph" w:customStyle="1" w:styleId="4">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2020-12-23T13:41:00Z</dcterms:created>
  <dc:creator>%E5%90%B4%E7%90%BC</dc:creator>
  <cp:lastModifiedBy>xxk</cp:lastModifiedBy>
  <dcterms:modified xsi:type="dcterms:W3CDTF">2020-12-28T11:58:16Z</dcterms:modified>
  <dc:title>（十三）林芝市工布江达县生态环境领域基层政务公开标准目录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