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（八）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林芝市工布江达县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0"/>
    </w:p>
    <w:tbl>
      <w:tblPr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89"/>
        <w:gridCol w:w="551"/>
        <w:gridCol w:w="3240"/>
        <w:gridCol w:w="1800"/>
        <w:gridCol w:w="1620"/>
        <w:gridCol w:w="900"/>
        <w:gridCol w:w="1800"/>
        <w:gridCol w:w="714"/>
        <w:gridCol w:w="715"/>
        <w:gridCol w:w="709"/>
        <w:gridCol w:w="562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公开事项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一级事项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全社会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特定群众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主动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依申请  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《预算法》、《政府信息公开条例》、《财政部关于印发&lt;地方预决算公开操作规程的通知&gt;》、《财政部关于印发&lt;地方政府债务信息公开办法（试行）&gt;的通知》等法律法规和文件规定。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《预算法》、《政府信息公开条例》、《财政部关于印发&lt;地方预决算公开操作规程的通知&gt;》、《财政部关于印发&lt;地方政府债务信息公开办法（试行）&gt;的通知》等法律法规和文件规定。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国有资本经营预算：①国有资本经营预算收入表。②国有资本经营预算支出表。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没有数据的表格应当列出空表并说明。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没有数据的表格应当列出空表并说明。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本级人民代表大会或其常务委员会批准后20日内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部门预算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本级政府财政部门批复后20日内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部门预算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本级政府财政部门批复后20日内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部门预算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本级政府财政部门批复后20日内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部门预算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本级政府财政部门批复后20日内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部门预算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本级政府财政部门批复后20日内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部门预算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没有数据的表格应当列出空表并说明。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本级政府财政部门批复后20日内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部门决算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本级政府财政部门批复后20日内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部门决算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财政拨款收支情况表：①财政拨款收支总体情况表。②一般公共预算支出情况表。③一般公共预算基本支出情况表。④一般公共预算“三公”经费支出情况表。⑤政府性基金预算收入支出情况表。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本级政府财政部门批复后20日内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部门决算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一般公共预算支出情况表公开到功能分类项级科目。一般公共预算基本支出表公开到经济性质分类款级科目。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本级政府财政部门批复后20日内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部门决算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般公共预算“三公”经费支出表按“因公出国（境）费”“公务用车购置及运行费”“公务接待费”公开。其中，“因公出国（境）费”细化说明团组数及人数；“公务接待”说明国内公务接待批次、人数；“公务用车购置及运行费”应当细化到“公务用车购置费”“公务用车运行费”两个项目，购置数及保有量，并对增减变化情况（与预算对比）进行说明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本级政府财政部门批复后20日内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财政预决算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部门决算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本级政府财政部门批复后20日内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县财政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宋体" w:cs="Times New Roman"/>
                    <w:sz w:val="22"/>
                    <w:szCs w:val="22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2"/>
                    <w:szCs w:val="22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2"/>
                    <w:szCs w:val="22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2"/>
                    <w:szCs w:val="22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2"/>
                    <w:szCs w:val="22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2"/>
                    <w:szCs w:val="22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2020-12-23T13:38:00Z</dcterms:created>
  <dc:creator>%E5%90%B4%E7%90%BC</dc:creator>
  <cp:lastModifiedBy>xxk</cp:lastModifiedBy>
  <dcterms:modified xsi:type="dcterms:W3CDTF">2020-12-28T11:44:45Z</dcterms:modified>
  <dc:title>（八）林芝市工布江达县财政预决算领域基层政务公开标准目录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