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ascii="方正小标宋_GBK" w:hAnsi="方正小标宋_GBK" w:eastAsia="方正小标宋_GBK"/>
          <w:b w:val="0"/>
          <w:bCs w:val="0"/>
          <w:sz w:val="30"/>
          <w:szCs w:val="18"/>
        </w:rPr>
      </w:pPr>
      <w:r>
        <w:rPr>
          <w:rFonts w:hint="eastAsia" w:ascii="方正小标宋_GBK" w:hAnsi="方正小标宋_GBK" w:eastAsia="方正小标宋_GBK"/>
          <w:b w:val="0"/>
          <w:bCs w:val="0"/>
          <w:sz w:val="30"/>
        </w:rPr>
        <w:t>（十八）</w:t>
      </w:r>
      <w:r>
        <w:rPr>
          <w:rFonts w:hint="eastAsia" w:ascii="方正小标宋_GBK" w:hAnsi="方正小标宋_GBK" w:eastAsia="方正小标宋_GBK"/>
          <w:b w:val="0"/>
          <w:bCs w:val="0"/>
          <w:sz w:val="30"/>
          <w:lang w:eastAsia="zh-CN"/>
        </w:rPr>
        <w:t>林芝市工布江达县</w:t>
      </w:r>
      <w:r>
        <w:rPr>
          <w:rFonts w:hint="eastAsia" w:ascii="方正小标宋_GBK" w:hAnsi="方正小标宋_GBK" w:eastAsia="方正小标宋_GBK"/>
          <w:b w:val="0"/>
          <w:bCs w:val="0"/>
          <w:sz w:val="30"/>
        </w:rPr>
        <w:t>城市综合执法领域基层政务公开标准目录</w:t>
      </w:r>
    </w:p>
    <w:tbl>
      <w:tblPr>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19"/>
        <w:gridCol w:w="1341"/>
        <w:gridCol w:w="1975"/>
        <w:gridCol w:w="1817"/>
        <w:gridCol w:w="1583"/>
        <w:gridCol w:w="1217"/>
        <w:gridCol w:w="2050"/>
        <w:gridCol w:w="717"/>
        <w:gridCol w:w="733"/>
        <w:gridCol w:w="617"/>
        <w:gridCol w:w="650"/>
        <w:gridCol w:w="716"/>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540" w:type="dxa"/>
            <w:vMerge w:val="restart"/>
            <w:vAlign w:val="center"/>
          </w:tcPr>
          <w:p>
            <w:pPr>
              <w:widowControl/>
              <w:jc w:val="center"/>
              <w:textAlignment w:val="center"/>
              <w:rPr>
                <w:rFonts w:ascii="Times New Roman" w:hAnsi="Times New Roman"/>
                <w:color w:val="000000"/>
                <w:kern w:val="0"/>
                <w:sz w:val="22"/>
              </w:rPr>
            </w:pPr>
            <w:r>
              <w:rPr>
                <w:rFonts w:hint="eastAsia" w:ascii="宋体" w:hAnsi="宋体" w:eastAsia="宋体" w:cs="宋体"/>
                <w:b/>
                <w:i w:val="0"/>
                <w:color w:val="000000"/>
                <w:kern w:val="0"/>
                <w:sz w:val="18"/>
                <w:szCs w:val="18"/>
                <w:u w:val="none"/>
                <w:lang w:val="en-US" w:eastAsia="zh-CN"/>
              </w:rPr>
              <w:t>序号</w:t>
            </w:r>
          </w:p>
        </w:tc>
        <w:tc>
          <w:tcPr>
            <w:tcW w:w="2160" w:type="dxa"/>
            <w:gridSpan w:val="2"/>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公开事项</w:t>
            </w:r>
          </w:p>
        </w:tc>
        <w:tc>
          <w:tcPr>
            <w:tcW w:w="1975" w:type="dxa"/>
            <w:vMerge w:val="restart"/>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公开内容</w:t>
            </w:r>
          </w:p>
        </w:tc>
        <w:tc>
          <w:tcPr>
            <w:tcW w:w="1817" w:type="dxa"/>
            <w:vMerge w:val="restart"/>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公开依据</w:t>
            </w:r>
          </w:p>
        </w:tc>
        <w:tc>
          <w:tcPr>
            <w:tcW w:w="1583" w:type="dxa"/>
            <w:vMerge w:val="restart"/>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w:t>
            </w:r>
            <w:r>
              <w:rPr>
                <w:rFonts w:hint="eastAsia" w:ascii="宋体" w:hAnsi="宋体" w:eastAsia="宋体" w:cs="宋体"/>
                <w:b/>
                <w:i w:val="0"/>
                <w:color w:val="000000"/>
                <w:kern w:val="0"/>
                <w:sz w:val="18"/>
                <w:szCs w:val="18"/>
                <w:u w:val="none"/>
                <w:lang w:val="en-US" w:eastAsia="zh-CN"/>
              </w:rPr>
              <w:br/>
            </w:r>
            <w:r>
              <w:rPr>
                <w:rFonts w:hint="eastAsia" w:ascii="宋体" w:hAnsi="宋体" w:eastAsia="宋体" w:cs="宋体"/>
                <w:b/>
                <w:i w:val="0"/>
                <w:color w:val="000000"/>
                <w:kern w:val="0"/>
                <w:sz w:val="18"/>
                <w:szCs w:val="18"/>
                <w:u w:val="none"/>
                <w:lang w:val="en-US" w:eastAsia="zh-CN"/>
              </w:rPr>
              <w:t>时限</w:t>
            </w:r>
          </w:p>
        </w:tc>
        <w:tc>
          <w:tcPr>
            <w:tcW w:w="1217" w:type="dxa"/>
            <w:vMerge w:val="restart"/>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w:t>
            </w:r>
            <w:r>
              <w:rPr>
                <w:rFonts w:hint="eastAsia" w:ascii="宋体" w:hAnsi="宋体" w:eastAsia="宋体" w:cs="宋体"/>
                <w:b/>
                <w:i w:val="0"/>
                <w:color w:val="000000"/>
                <w:kern w:val="0"/>
                <w:sz w:val="18"/>
                <w:szCs w:val="18"/>
                <w:u w:val="none"/>
                <w:lang w:val="en-US" w:eastAsia="zh-CN"/>
              </w:rPr>
              <w:br/>
            </w:r>
            <w:r>
              <w:rPr>
                <w:rFonts w:hint="eastAsia" w:ascii="宋体" w:hAnsi="宋体" w:eastAsia="宋体" w:cs="宋体"/>
                <w:b/>
                <w:i w:val="0"/>
                <w:color w:val="000000"/>
                <w:kern w:val="0"/>
                <w:sz w:val="18"/>
                <w:szCs w:val="18"/>
                <w:u w:val="none"/>
                <w:lang w:val="en-US" w:eastAsia="zh-CN"/>
              </w:rPr>
              <w:t>主体</w:t>
            </w:r>
          </w:p>
        </w:tc>
        <w:tc>
          <w:tcPr>
            <w:tcW w:w="2050" w:type="dxa"/>
            <w:vMerge w:val="restart"/>
            <w:vAlign w:val="center"/>
          </w:tcPr>
          <w:p>
            <w:pPr>
              <w:widowControl/>
              <w:jc w:val="left"/>
              <w:textAlignment w:val="center"/>
              <w:rPr>
                <w:rFonts w:ascii="黑体" w:hAnsi="宋体" w:eastAsia="黑体" w:cs="宋体"/>
                <w:kern w:val="0"/>
                <w:sz w:val="22"/>
              </w:rPr>
            </w:pPr>
            <w:r>
              <w:rPr>
                <w:rFonts w:hint="eastAsia" w:ascii="宋体" w:hAnsi="宋体" w:eastAsia="宋体" w:cs="宋体"/>
                <w:b/>
                <w:i w:val="0"/>
                <w:color w:val="000000"/>
                <w:kern w:val="0"/>
                <w:sz w:val="18"/>
                <w:szCs w:val="18"/>
                <w:u w:val="none"/>
                <w:lang w:val="en-US" w:eastAsia="zh-CN"/>
              </w:rPr>
              <w:t>公开渠道和载体</w:t>
            </w:r>
          </w:p>
        </w:tc>
        <w:tc>
          <w:tcPr>
            <w:tcW w:w="1450" w:type="dxa"/>
            <w:gridSpan w:val="2"/>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公开对象</w:t>
            </w:r>
          </w:p>
        </w:tc>
        <w:tc>
          <w:tcPr>
            <w:tcW w:w="1267" w:type="dxa"/>
            <w:gridSpan w:val="2"/>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公开方式</w:t>
            </w:r>
          </w:p>
        </w:tc>
        <w:tc>
          <w:tcPr>
            <w:tcW w:w="1421" w:type="dxa"/>
            <w:gridSpan w:val="2"/>
            <w:vAlign w:val="center"/>
          </w:tcPr>
          <w:p>
            <w:pPr>
              <w:widowControl/>
              <w:jc w:val="center"/>
              <w:textAlignment w:val="center"/>
              <w:rPr>
                <w:rFonts w:ascii="黑体" w:hAnsi="宋体" w:eastAsia="黑体" w:cs="宋体"/>
                <w:color w:val="000000"/>
                <w:kern w:val="0"/>
                <w:sz w:val="22"/>
              </w:rPr>
            </w:pPr>
            <w:r>
              <w:rPr>
                <w:rFonts w:hint="eastAsia" w:ascii="黑体" w:hAnsi="宋体" w:eastAsia="黑体" w:cs="黑体"/>
                <w:i w:val="0"/>
                <w:color w:val="000000"/>
                <w:kern w:val="0"/>
                <w:sz w:val="22"/>
                <w:szCs w:val="22"/>
                <w:u w:val="no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trPr>
        <w:tc>
          <w:tcPr>
            <w:tcW w:w="540" w:type="dxa"/>
            <w:vMerge w:val="continue"/>
            <w:vAlign w:val="center"/>
          </w:tcPr>
          <w:p>
            <w:pPr>
              <w:jc w:val="center"/>
              <w:rPr>
                <w:rFonts w:ascii="Times New Roman" w:hAnsi="Times New Roman"/>
                <w:color w:val="000000"/>
                <w:kern w:val="0"/>
                <w:sz w:val="22"/>
              </w:rPr>
            </w:pPr>
          </w:p>
        </w:tc>
        <w:tc>
          <w:tcPr>
            <w:tcW w:w="819"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一级事项</w:t>
            </w:r>
          </w:p>
        </w:tc>
        <w:tc>
          <w:tcPr>
            <w:tcW w:w="1341"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二级事项</w:t>
            </w:r>
          </w:p>
        </w:tc>
        <w:tc>
          <w:tcPr>
            <w:tcW w:w="1975" w:type="dxa"/>
            <w:vMerge w:val="continue"/>
            <w:vAlign w:val="center"/>
          </w:tcPr>
          <w:p>
            <w:pPr>
              <w:jc w:val="center"/>
              <w:rPr>
                <w:rFonts w:ascii="黑体" w:hAnsi="宋体" w:eastAsia="黑体" w:cs="宋体"/>
                <w:color w:val="000000"/>
                <w:kern w:val="0"/>
                <w:sz w:val="22"/>
              </w:rPr>
            </w:pPr>
          </w:p>
        </w:tc>
        <w:tc>
          <w:tcPr>
            <w:tcW w:w="1817" w:type="dxa"/>
            <w:vMerge w:val="continue"/>
            <w:vAlign w:val="center"/>
          </w:tcPr>
          <w:p>
            <w:pPr>
              <w:jc w:val="center"/>
              <w:rPr>
                <w:rFonts w:ascii="黑体" w:hAnsi="宋体" w:eastAsia="黑体" w:cs="宋体"/>
                <w:color w:val="000000"/>
                <w:kern w:val="0"/>
                <w:sz w:val="22"/>
              </w:rPr>
            </w:pPr>
          </w:p>
        </w:tc>
        <w:tc>
          <w:tcPr>
            <w:tcW w:w="1583" w:type="dxa"/>
            <w:vMerge w:val="continue"/>
            <w:vAlign w:val="center"/>
          </w:tcPr>
          <w:p>
            <w:pPr>
              <w:jc w:val="center"/>
              <w:rPr>
                <w:rFonts w:ascii="黑体" w:hAnsi="宋体" w:eastAsia="黑体" w:cs="宋体"/>
                <w:color w:val="000000"/>
                <w:kern w:val="0"/>
                <w:sz w:val="22"/>
              </w:rPr>
            </w:pPr>
          </w:p>
        </w:tc>
        <w:tc>
          <w:tcPr>
            <w:tcW w:w="1217" w:type="dxa"/>
            <w:vMerge w:val="continue"/>
            <w:vAlign w:val="center"/>
          </w:tcPr>
          <w:p>
            <w:pPr>
              <w:jc w:val="center"/>
              <w:rPr>
                <w:rFonts w:ascii="黑体" w:hAnsi="宋体" w:eastAsia="黑体" w:cs="宋体"/>
                <w:color w:val="000000"/>
                <w:kern w:val="0"/>
                <w:sz w:val="22"/>
              </w:rPr>
            </w:pPr>
          </w:p>
        </w:tc>
        <w:tc>
          <w:tcPr>
            <w:tcW w:w="2050" w:type="dxa"/>
            <w:vMerge w:val="continue"/>
            <w:vAlign w:val="center"/>
          </w:tcPr>
          <w:p>
            <w:pPr>
              <w:jc w:val="left"/>
              <w:rPr>
                <w:rFonts w:ascii="黑体" w:hAnsi="宋体" w:eastAsia="黑体" w:cs="宋体"/>
                <w:kern w:val="0"/>
                <w:sz w:val="22"/>
              </w:rPr>
            </w:pPr>
          </w:p>
        </w:tc>
        <w:tc>
          <w:tcPr>
            <w:tcW w:w="717"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全社会</w:t>
            </w:r>
          </w:p>
        </w:tc>
        <w:tc>
          <w:tcPr>
            <w:tcW w:w="733"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特定群体</w:t>
            </w:r>
          </w:p>
        </w:tc>
        <w:tc>
          <w:tcPr>
            <w:tcW w:w="617"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主动</w:t>
            </w:r>
          </w:p>
        </w:tc>
        <w:tc>
          <w:tcPr>
            <w:tcW w:w="650" w:type="dxa"/>
            <w:vAlign w:val="center"/>
          </w:tcPr>
          <w:p>
            <w:pPr>
              <w:widowControl/>
              <w:jc w:val="center"/>
              <w:textAlignment w:val="center"/>
              <w:rPr>
                <w:rFonts w:ascii="黑体" w:hAnsi="宋体" w:eastAsia="黑体" w:cs="宋体"/>
                <w:color w:val="000000"/>
                <w:kern w:val="0"/>
                <w:sz w:val="22"/>
              </w:rPr>
            </w:pPr>
            <w:r>
              <w:rPr>
                <w:rFonts w:hint="eastAsia" w:ascii="宋体" w:hAnsi="宋体" w:eastAsia="宋体" w:cs="宋体"/>
                <w:b/>
                <w:i w:val="0"/>
                <w:color w:val="000000"/>
                <w:kern w:val="0"/>
                <w:sz w:val="18"/>
                <w:szCs w:val="18"/>
                <w:u w:val="none"/>
                <w:lang w:val="en-US" w:eastAsia="zh-CN"/>
              </w:rPr>
              <w:t>依申请</w:t>
            </w:r>
          </w:p>
        </w:tc>
        <w:tc>
          <w:tcPr>
            <w:tcW w:w="716" w:type="dxa"/>
            <w:vAlign w:val="center"/>
          </w:tcPr>
          <w:p>
            <w:pPr>
              <w:widowControl/>
              <w:jc w:val="center"/>
              <w:textAlignment w:val="center"/>
              <w:rPr>
                <w:rFonts w:ascii="黑体" w:hAnsi="宋体" w:eastAsia="黑体" w:cs="宋体"/>
                <w:color w:val="000000"/>
                <w:kern w:val="0"/>
                <w:sz w:val="22"/>
              </w:rPr>
            </w:pPr>
            <w:r>
              <w:rPr>
                <w:rFonts w:hint="eastAsia" w:ascii="黑体" w:hAnsi="宋体" w:eastAsia="黑体" w:cs="黑体"/>
                <w:i w:val="0"/>
                <w:color w:val="000000"/>
                <w:kern w:val="0"/>
                <w:sz w:val="22"/>
                <w:szCs w:val="22"/>
                <w:u w:val="none"/>
                <w:lang w:val="en-US" w:eastAsia="zh-CN"/>
              </w:rPr>
              <w:t>县级</w:t>
            </w:r>
          </w:p>
        </w:tc>
        <w:tc>
          <w:tcPr>
            <w:tcW w:w="705" w:type="dxa"/>
            <w:vAlign w:val="center"/>
          </w:tcPr>
          <w:p>
            <w:pPr>
              <w:widowControl/>
              <w:jc w:val="center"/>
              <w:textAlignment w:val="center"/>
              <w:rPr>
                <w:rFonts w:ascii="黑体" w:hAnsi="宋体" w:eastAsia="黑体" w:cs="宋体"/>
                <w:color w:val="000000"/>
                <w:kern w:val="0"/>
                <w:sz w:val="22"/>
              </w:rPr>
            </w:pPr>
            <w:r>
              <w:rPr>
                <w:rFonts w:hint="eastAsia" w:ascii="黑体" w:hAnsi="宋体" w:eastAsia="黑体" w:cs="黑体"/>
                <w:i w:val="0"/>
                <w:color w:val="000000"/>
                <w:kern w:val="0"/>
                <w:sz w:val="18"/>
                <w:szCs w:val="18"/>
                <w:u w:val="none"/>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trPr>
        <w:tc>
          <w:tcPr>
            <w:tcW w:w="540" w:type="dxa"/>
            <w:vAlign w:val="center"/>
          </w:tcPr>
          <w:p>
            <w:pPr>
              <w:widowControl/>
              <w:jc w:val="center"/>
              <w:textAlignment w:val="center"/>
              <w:rPr>
                <w:rFonts w:hint="eastAsia" w:ascii="仿宋_GB2312" w:hAnsi="宋体" w:eastAsia="仿宋_GB2312" w:cs="宋体"/>
                <w:sz w:val="18"/>
                <w:szCs w:val="18"/>
              </w:rPr>
            </w:pPr>
            <w:r>
              <w:rPr>
                <w:rFonts w:hint="eastAsia" w:ascii="宋体" w:hAnsi="宋体" w:cs="宋体"/>
                <w:i w:val="0"/>
                <w:color w:val="000000"/>
                <w:kern w:val="0"/>
                <w:sz w:val="18"/>
                <w:szCs w:val="18"/>
                <w:u w:val="none"/>
                <w:lang w:val="en-US" w:eastAsia="zh-CN"/>
              </w:rPr>
              <w:t>1</w:t>
            </w:r>
          </w:p>
        </w:tc>
        <w:tc>
          <w:tcPr>
            <w:tcW w:w="819" w:type="dxa"/>
            <w:vAlign w:val="center"/>
          </w:tcPr>
          <w:p>
            <w:pPr>
              <w:widowControl/>
              <w:jc w:val="center"/>
              <w:textAlignment w:val="center"/>
              <w:rPr>
                <w:rFonts w:hint="eastAsia" w:ascii="仿宋_GB2312" w:hAnsi="宋体" w:eastAsia="仿宋_GB2312" w:cs="宋体"/>
                <w:sz w:val="18"/>
                <w:szCs w:val="18"/>
              </w:rPr>
            </w:pPr>
            <w:r>
              <w:rPr>
                <w:rFonts w:hint="eastAsia" w:ascii="宋体" w:hAnsi="宋体" w:eastAsia="宋体" w:cs="宋体"/>
                <w:i w:val="0"/>
                <w:color w:val="000000"/>
                <w:kern w:val="0"/>
                <w:sz w:val="18"/>
                <w:szCs w:val="18"/>
                <w:u w:val="none"/>
                <w:lang w:val="en-US" w:eastAsia="zh-CN"/>
              </w:rPr>
              <w:t>房地产管理</w:t>
            </w:r>
          </w:p>
        </w:tc>
        <w:tc>
          <w:tcPr>
            <w:tcW w:w="1341" w:type="dxa"/>
            <w:vAlign w:val="center"/>
          </w:tcPr>
          <w:p>
            <w:pPr>
              <w:widowControl/>
              <w:jc w:val="left"/>
              <w:textAlignment w:val="center"/>
              <w:rPr>
                <w:rFonts w:hint="eastAsia" w:ascii="仿宋_GB2312" w:hAnsi="宋体" w:eastAsia="仿宋_GB2312" w:cs="宋体"/>
                <w:sz w:val="18"/>
                <w:szCs w:val="18"/>
              </w:rPr>
            </w:pPr>
            <w:r>
              <w:rPr>
                <w:rFonts w:hint="eastAsia" w:ascii="宋体" w:hAnsi="宋体" w:eastAsia="宋体" w:cs="宋体"/>
                <w:i w:val="0"/>
                <w:color w:val="000000"/>
                <w:kern w:val="0"/>
                <w:sz w:val="18"/>
                <w:szCs w:val="18"/>
                <w:u w:val="none"/>
                <w:lang w:val="en-US" w:eastAsia="zh-CN"/>
              </w:rPr>
              <w:t>房产测绘单位在房产面积测算中弄虚作假、欺骗房屋权利人</w:t>
            </w:r>
          </w:p>
        </w:tc>
        <w:tc>
          <w:tcPr>
            <w:tcW w:w="1975" w:type="dxa"/>
            <w:vAlign w:val="center"/>
          </w:tcPr>
          <w:p>
            <w:pPr>
              <w:widowControl/>
              <w:jc w:val="left"/>
              <w:textAlignment w:val="center"/>
              <w:rPr>
                <w:rFonts w:hint="eastAsia" w:ascii="仿宋_GB2312" w:hAnsi="宋体" w:eastAsia="仿宋_GB2312" w:cs="宋体"/>
                <w:sz w:val="18"/>
                <w:szCs w:val="18"/>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仿宋_GB2312" w:hAnsi="宋体" w:eastAsia="仿宋_GB2312" w:cs="宋体"/>
                <w:sz w:val="18"/>
                <w:szCs w:val="18"/>
              </w:rPr>
            </w:pPr>
            <w:r>
              <w:rPr>
                <w:rFonts w:hint="eastAsia" w:ascii="宋体" w:hAnsi="宋体" w:eastAsia="宋体" w:cs="宋体"/>
                <w:i w:val="0"/>
                <w:color w:val="000000"/>
                <w:kern w:val="0"/>
                <w:sz w:val="18"/>
                <w:szCs w:val="18"/>
                <w:u w:val="none"/>
                <w:lang w:val="en-US" w:eastAsia="zh-CN"/>
              </w:rPr>
              <w:t>《房产测绘管理办法》</w:t>
            </w:r>
          </w:p>
        </w:tc>
        <w:tc>
          <w:tcPr>
            <w:tcW w:w="1583" w:type="dxa"/>
            <w:vAlign w:val="center"/>
          </w:tcPr>
          <w:p>
            <w:pPr>
              <w:widowControl/>
              <w:jc w:val="left"/>
              <w:textAlignment w:val="center"/>
              <w:rPr>
                <w:rFonts w:hint="eastAsia" w:ascii="仿宋_GB2312" w:hAnsi="宋体" w:eastAsia="仿宋_GB2312" w:cs="宋体"/>
                <w:sz w:val="18"/>
                <w:szCs w:val="18"/>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vAlign w:val="center"/>
          </w:tcPr>
          <w:p>
            <w:pPr>
              <w:widowControl/>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仿宋_GB2312" w:hAnsi="宋体" w:eastAsia="仿宋_GB2312" w:cs="宋体"/>
                <w:sz w:val="18"/>
                <w:szCs w:val="18"/>
              </w:rPr>
            </w:pPr>
            <w:r>
              <w:rPr>
                <w:rFonts w:hint="eastAsia" w:ascii="宋体" w:hAnsi="宋体" w:eastAsia="宋体" w:cs="宋体"/>
                <w:i w:val="0"/>
                <w:color w:val="000000"/>
                <w:kern w:val="0"/>
                <w:sz w:val="18"/>
                <w:szCs w:val="18"/>
                <w:u w:val="none"/>
                <w:lang w:val="en-US" w:eastAsia="zh-CN"/>
              </w:rPr>
              <w:t>■政府网站</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■政务服务中心</w:t>
            </w:r>
          </w:p>
        </w:tc>
        <w:tc>
          <w:tcPr>
            <w:tcW w:w="717" w:type="dxa"/>
            <w:vAlign w:val="center"/>
          </w:tcPr>
          <w:p>
            <w:pPr>
              <w:widowControl/>
              <w:jc w:val="center"/>
              <w:textAlignment w:val="center"/>
              <w:rPr>
                <w:rFonts w:hint="eastAsia" w:ascii="仿宋_GB2312" w:hAnsi="Arial" w:eastAsia="仿宋_GB2312" w:cs="Arial"/>
                <w:sz w:val="18"/>
                <w:szCs w:val="18"/>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eastAsia" w:ascii="仿宋_GB2312" w:hAnsi="Arial" w:eastAsia="仿宋_GB2312" w:cs="Arial"/>
                <w:sz w:val="18"/>
                <w:szCs w:val="18"/>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eastAsia" w:ascii="仿宋_GB2312" w:hAnsi="Arial" w:eastAsia="仿宋_GB2312" w:cs="Arial"/>
                <w:sz w:val="18"/>
                <w:szCs w:val="18"/>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仿宋_GB2312" w:hAnsi="宋体" w:eastAsia="仿宋_GB2312" w:cs="宋体"/>
                <w:sz w:val="18"/>
                <w:szCs w:val="18"/>
              </w:rPr>
            </w:pPr>
            <w:r>
              <w:rPr>
                <w:rFonts w:hint="eastAsia" w:ascii="宋体" w:hAnsi="宋体" w:cs="宋体"/>
                <w:i w:val="0"/>
                <w:color w:val="000000"/>
                <w:kern w:val="0"/>
                <w:sz w:val="18"/>
                <w:szCs w:val="18"/>
                <w:u w:val="none"/>
                <w:lang w:val="en-US" w:eastAsia="zh-CN"/>
              </w:rPr>
              <w:t>2</w:t>
            </w:r>
          </w:p>
        </w:tc>
        <w:tc>
          <w:tcPr>
            <w:tcW w:w="819" w:type="dxa"/>
            <w:vAlign w:val="center"/>
          </w:tcPr>
          <w:p>
            <w:pPr>
              <w:widowControl/>
              <w:jc w:val="center"/>
              <w:textAlignment w:val="center"/>
              <w:rPr>
                <w:rFonts w:hint="eastAsia" w:ascii="仿宋_GB2312" w:hAnsi="宋体" w:eastAsia="仿宋_GB2312" w:cs="宋体"/>
                <w:sz w:val="18"/>
                <w:szCs w:val="18"/>
              </w:rPr>
            </w:pPr>
            <w:r>
              <w:rPr>
                <w:rFonts w:hint="eastAsia" w:ascii="宋体" w:hAnsi="宋体" w:eastAsia="宋体" w:cs="宋体"/>
                <w:i w:val="0"/>
                <w:color w:val="000000"/>
                <w:kern w:val="0"/>
                <w:sz w:val="18"/>
                <w:szCs w:val="18"/>
                <w:u w:val="none"/>
                <w:lang w:val="en-US" w:eastAsia="zh-CN"/>
              </w:rPr>
              <w:t>房地产管理</w:t>
            </w:r>
          </w:p>
        </w:tc>
        <w:tc>
          <w:tcPr>
            <w:tcW w:w="1341" w:type="dxa"/>
            <w:vAlign w:val="center"/>
          </w:tcPr>
          <w:p>
            <w:pPr>
              <w:widowControl/>
              <w:jc w:val="left"/>
              <w:textAlignment w:val="center"/>
              <w:rPr>
                <w:rFonts w:hint="eastAsia" w:ascii="仿宋_GB2312" w:hAnsi="宋体" w:eastAsia="仿宋_GB2312" w:cs="宋体"/>
                <w:sz w:val="18"/>
                <w:szCs w:val="18"/>
              </w:rPr>
            </w:pPr>
            <w:r>
              <w:rPr>
                <w:rFonts w:hint="eastAsia" w:ascii="宋体" w:hAnsi="宋体" w:eastAsia="宋体" w:cs="宋体"/>
                <w:i w:val="0"/>
                <w:color w:val="000000"/>
                <w:kern w:val="0"/>
                <w:sz w:val="18"/>
                <w:szCs w:val="18"/>
                <w:u w:val="none"/>
                <w:lang w:val="en-US" w:eastAsia="zh-CN"/>
              </w:rPr>
              <w:t>房产测绘单位房产面积测算失误，造成重大损失</w:t>
            </w:r>
          </w:p>
        </w:tc>
        <w:tc>
          <w:tcPr>
            <w:tcW w:w="1975" w:type="dxa"/>
            <w:vAlign w:val="center"/>
          </w:tcPr>
          <w:p>
            <w:pPr>
              <w:widowControl/>
              <w:jc w:val="left"/>
              <w:textAlignment w:val="center"/>
              <w:rPr>
                <w:rFonts w:hint="eastAsia" w:ascii="仿宋_GB2312" w:hAnsi="宋体" w:eastAsia="仿宋_GB2312" w:cs="宋体"/>
                <w:sz w:val="18"/>
                <w:szCs w:val="18"/>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仿宋_GB2312" w:hAnsi="宋体" w:eastAsia="仿宋_GB2312" w:cs="宋体"/>
                <w:sz w:val="18"/>
                <w:szCs w:val="18"/>
              </w:rPr>
            </w:pPr>
            <w:r>
              <w:rPr>
                <w:rFonts w:hint="eastAsia" w:ascii="宋体" w:hAnsi="宋体" w:eastAsia="宋体" w:cs="宋体"/>
                <w:i w:val="0"/>
                <w:color w:val="000000"/>
                <w:kern w:val="0"/>
                <w:sz w:val="18"/>
                <w:szCs w:val="18"/>
                <w:u w:val="none"/>
                <w:lang w:val="en-US" w:eastAsia="zh-CN"/>
              </w:rPr>
              <w:t>《房产测绘管理办法》</w:t>
            </w:r>
          </w:p>
        </w:tc>
        <w:tc>
          <w:tcPr>
            <w:tcW w:w="1583" w:type="dxa"/>
            <w:vAlign w:val="center"/>
          </w:tcPr>
          <w:p>
            <w:pPr>
              <w:widowControl/>
              <w:jc w:val="left"/>
              <w:textAlignment w:val="center"/>
              <w:rPr>
                <w:rFonts w:hint="eastAsia" w:ascii="仿宋_GB2312" w:hAnsi="宋体" w:eastAsia="仿宋_GB2312" w:cs="宋体"/>
                <w:sz w:val="18"/>
                <w:szCs w:val="18"/>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仿宋_GB2312" w:hAnsi="宋体" w:eastAsia="仿宋_GB2312" w:cs="宋体"/>
                <w:sz w:val="18"/>
                <w:szCs w:val="18"/>
              </w:rPr>
            </w:pPr>
            <w:r>
              <w:rPr>
                <w:rFonts w:hint="eastAsia" w:ascii="宋体" w:hAnsi="宋体" w:eastAsia="宋体" w:cs="宋体"/>
                <w:i w:val="0"/>
                <w:color w:val="000000"/>
                <w:kern w:val="0"/>
                <w:sz w:val="18"/>
                <w:szCs w:val="18"/>
                <w:u w:val="none"/>
                <w:lang w:val="en-US" w:eastAsia="zh-CN"/>
              </w:rPr>
              <w:t>■政府网站</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■政务服务中心</w:t>
            </w:r>
          </w:p>
        </w:tc>
        <w:tc>
          <w:tcPr>
            <w:tcW w:w="717" w:type="dxa"/>
            <w:vAlign w:val="center"/>
          </w:tcPr>
          <w:p>
            <w:pPr>
              <w:widowControl/>
              <w:jc w:val="center"/>
              <w:textAlignment w:val="center"/>
              <w:rPr>
                <w:rFonts w:hint="eastAsia" w:ascii="仿宋_GB2312" w:hAnsi="Arial" w:eastAsia="仿宋_GB2312" w:cs="Arial"/>
                <w:sz w:val="18"/>
                <w:szCs w:val="18"/>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eastAsia" w:ascii="仿宋_GB2312" w:hAnsi="Arial" w:eastAsia="仿宋_GB2312" w:cs="Arial"/>
                <w:sz w:val="18"/>
                <w:szCs w:val="18"/>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eastAsia" w:ascii="仿宋_GB2312" w:hAnsi="Arial" w:eastAsia="仿宋_GB2312" w:cs="Arial"/>
                <w:sz w:val="18"/>
                <w:szCs w:val="18"/>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3</w:t>
            </w:r>
          </w:p>
        </w:tc>
        <w:tc>
          <w:tcPr>
            <w:tcW w:w="819" w:type="dxa"/>
            <w:vMerge w:val="restart"/>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公共租赁住房的所有权人及其委托的运营单位向不符合条件的对象出租公共租赁住房的</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4</w:t>
            </w:r>
          </w:p>
        </w:tc>
        <w:tc>
          <w:tcPr>
            <w:tcW w:w="819" w:type="dxa"/>
            <w:vMerge w:val="continue"/>
            <w:vAlign w:val="center"/>
          </w:tcPr>
          <w:p>
            <w:pPr>
              <w:jc w:val="center"/>
              <w:rPr>
                <w:rFonts w:hint="eastAsia" w:ascii="宋体" w:hAnsi="宋体" w:eastAsia="宋体" w:cs="宋体"/>
                <w:i w:val="0"/>
                <w:color w:val="000000"/>
                <w:kern w:val="0"/>
                <w:sz w:val="18"/>
                <w:szCs w:val="18"/>
                <w:u w:val="none"/>
                <w:lang w:val="en-US" w:eastAsia="zh-CN"/>
              </w:rPr>
            </w:pP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公共租赁住房的所有权人及其委托的运营单位未履行公共租赁住房及其配套设施维修养护义务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2.执法程序或行政强制流程图；3.执法依据；4.行政处罚自由裁量基准；5.咨询、监督投诉方式；6.处罚决定；7.救济渠道。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5</w:t>
            </w:r>
          </w:p>
        </w:tc>
        <w:tc>
          <w:tcPr>
            <w:tcW w:w="819" w:type="dxa"/>
            <w:vMerge w:val="continue"/>
            <w:vAlign w:val="center"/>
          </w:tcPr>
          <w:p>
            <w:pPr>
              <w:jc w:val="center"/>
              <w:rPr>
                <w:rFonts w:hint="eastAsia" w:ascii="宋体" w:hAnsi="宋体" w:eastAsia="宋体" w:cs="宋体"/>
                <w:i w:val="0"/>
                <w:color w:val="000000"/>
                <w:kern w:val="0"/>
                <w:sz w:val="18"/>
                <w:szCs w:val="18"/>
                <w:u w:val="none"/>
                <w:lang w:val="en-US" w:eastAsia="zh-CN"/>
              </w:rPr>
            </w:pP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公共租赁住房的所有权人及其委托的运营单位改变公共租赁住房的保障性住房性质、用途，以及配套设施的规划用途</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2.执法程序或行政强制流程图；3.执法依据；4.行政处罚自由裁量基准；5.咨询、监督投诉方式；6.处罚决定；7.救济渠道。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6</w:t>
            </w:r>
          </w:p>
        </w:tc>
        <w:tc>
          <w:tcPr>
            <w:tcW w:w="819" w:type="dxa"/>
            <w:vMerge w:val="continue"/>
            <w:vAlign w:val="center"/>
          </w:tcPr>
          <w:p>
            <w:pPr>
              <w:jc w:val="center"/>
              <w:rPr>
                <w:rFonts w:hint="eastAsia" w:ascii="宋体" w:hAnsi="宋体" w:eastAsia="宋体" w:cs="宋体"/>
                <w:i w:val="0"/>
                <w:color w:val="000000"/>
                <w:kern w:val="0"/>
                <w:sz w:val="18"/>
                <w:szCs w:val="18"/>
                <w:u w:val="none"/>
                <w:lang w:val="en-US" w:eastAsia="zh-CN"/>
              </w:rPr>
            </w:pP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申请人隐瞒有关情况或者提供虚假材料申请公共租赁住房</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申请人以欺骗等不正手段，登记为轮候对象或者承租公共租赁住房</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承租人转借、转租或者擅自调换所承租公共租赁住房</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承租人改变所承租公共租赁住房用途</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承租人破坏或者擅自装修所承租公共租赁住房，拒不恢复原状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承租人在公共租赁住房内从事违法活动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承租人无正当理由连续6个月以上闲置公共租赁住房</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房地产经纪机构及其经纪人员提供公共租赁住房出租、转租、出售等经纪业务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《公共租赁住房管理办法》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 xml:space="preserve">                                      《房地产经纪管理办法》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房地产开发企业将未组织竣工验收、验收不合格或者对不合格按合格验收的商品房擅自交付使用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《商品房销售管理办法》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企业开发建设的项目工程质量低劣，发生重大工程质量事故</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《房地产开发企业资质管理规定》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未取得施工许可证或者开工报告未经批准擅自施工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《中华人民共和国建筑法》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发包单位将工程发包给不具有相应资质条件的承包单位的，或者违反本法规定将建筑工程肢解发包</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spacing w:after="180" w:afterAutospacing="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《中华人民共和国建筑法》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承包单位将承包的工程转包，或者违法分包</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《中华人民共和国建筑法》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在工程发包与承包中索贿、受贿、行贿，且不构成犯罪</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《中华人民共和国建筑法》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20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工程监理单位与建设单位或者建筑施工企业串通，弄虚作假、降低工程质量</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《中华人民共和国建筑法》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21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工程监理单位转让监理业务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《中华人民共和国建筑法》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22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涉及建筑主体或者承重结构变动的装修工程擅自施工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《中华人民共和国建筑法》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23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建筑施工企业对建筑安全事故隐患不采取措施予以消除</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《中华人民共和国建筑法》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24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建设单位要求建筑设计单位或者建筑施工企业违反建筑工程质量、安全标准，降低工程质量</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《中华人民共和国建筑法》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25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建筑设计单位不按照建筑工程质量、安全标准进行设计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《中华人民共和国建筑法》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26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建筑施工企业在施工中偷工减料，使用不合格的建筑材料、建筑构配件和设备，或者有其他不按照工程设计图纸或者施工技术标准施工的行为</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《中华人民共和国建筑法》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27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建筑施工企业不履行保修义务或者拖延履行保修义务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《中华人民共和国建筑法》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28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建设单位违反建筑节能标准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《中华人民共和国节约能源法》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29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设计单位、施工单位、监理单位违反建筑节能标准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《中华人民共和国节约能源法》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30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房地产开发企业在销售房屋时未向购买人明示所售房屋的节能措施、保温工程保修期等信息；或对以上信息作虚假宣传</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《中华人民共和国节约能源法》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31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建设单位将建设工程发包给不具有相应资质等级的勘察、设计、施工单位或者委托给不具有相应资质等级的工程监理单位</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32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将建筑工程肢解发包</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33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建设单位迫使承包方以低于成本的价格竞标</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34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建设单位任意压缩合理工期</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35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建设单位明示或者暗示设计单位或者施工单位违反工程建设强制性标准，降低工程质量</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 xml:space="preserve">                                            《实施工程建设强制性标准监督规</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 xml:space="preserve">定》  </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36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建设单位施工图设计文件未经审查或者审查不合格，擅自施工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37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建设项目必须实行工程监理而未实行工程监理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38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建设单位未按照国家规定办理工程质量监督手续</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39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建设单位明示或者暗示施工单位使用不合格的建筑材料、建筑构配件和设备</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《实施工程建设强制性标准监督规</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40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建设单位未按照国家规定将竣工验收报告、有关认可文件或者准许使用文件报送备案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41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未组织竣工验收，建设单位擅自交付使用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42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验收不合格，建设单位擅自交付使用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43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建设单位对不合格的建设工程按照合格工程验收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44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建设工程竣工验收后，建设单位未向建设行政主管部门或者其他有关部门移交建设项目档案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45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勘察、设计、施工、工程监理单位允许其他单位或者个人以本单位名义承揽工程</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46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工程监理单位转让工程监理业务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47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勘察单位未按照工程建设强制性标准进行勘察</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《建设工程勘察设计管理条例》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48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设计单位未根据勘察成果文件进行工程设计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《建设工程勘察设计管理条例》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49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设计单位指定建筑材料、建筑构配件的生产厂、供应商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《建设工程勘察设计管理条例》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50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设计单位未按照工程建设强制性标准进行设计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 xml:space="preserve">                               </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《建设工程勘察设计管理条例》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51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施工单位在施工中偷工减料；使用不合格的建筑材料、建筑构配件和设备；或者有不按照工程设计图纸或者施工技术标准施工的其他行为</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52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施工单位未对建筑材料、建筑构配件、设备和商品混凝土进行检验，或者未对涉及结构安全的试块、试件以及有关材料取样检测</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53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工程监理单位与建设单位或者施工单位串通，弄虚作假、降低工程质量</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54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工程监理单位将不合格的工程、建筑材料、构配件和设备按照合格签字</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55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工程监理单位与被监理工程的施工承包单位以及建筑材料、建筑构配件和设备供应单位有隶属关系或者其他利害关系承担该项建设工程的监理业务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56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涉及建筑主体或者承重结构变动的装修工程，没有设计方案擅自施工；房屋建筑使用者在装修过程中擅自变动房屋建筑主体和承重结构</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57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注册建筑师、注册结构工程师、监理工程师等注册执业人员因过错造成质量事故</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58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建设单位未提供建设工程安全生产作业环境及安全施工措施所需费用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59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建设单位未将保证安全施工的措施或者拆除工程的有关资料报送有关部门备案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60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建设单位对勘察、设计、施工、工程监理等单位提出不符合安全生产法律、法规和强制性标准规定要求</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61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建设单位要求施工单位压缩合同约定的工期</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62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建设单位将拆除工程发包给不具有相应资质等级的施工单位</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63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勘察单位、设计单位未按照法律、法规和工程建设强制性标准进行勘察、设计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64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采用新结构、新材料、新工艺的建设工程和特殊结构的建设工程，设计单位未在设计中提出保障施工作业人员安全和预防生产安全事故的措施建议</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65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工程监理单位未对施工组织设计中的安全技术措施或者专项施工方案进行审查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66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工程监理单位发现安全事故隐患未及时要求施工单位整改或者暂时停止施工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67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施工单位拒不整改或者不停止施工，工程监理单位未及时向有关主管部门报告</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68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工程监理单位未依照法律、法规和工程建设强制性标准实施监理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69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注册执业人员未执行法律、法规和工程建设强制性标准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70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为建设工程提供机械设备和配件的单位，未按照安全施工的要求配备齐全有效的保险、限位等安全设施和装置</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71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出租单位出租未经安全性能检测或者经检测不合格的机械设备和施工机具及配件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72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施工起重机械和整体提升脚手架、模板等自升式架设设施安装、拆卸单位未编制拆装方案、制定安全施工措施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73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施工起重机械和整体提升脚手架、模板等自升式架设设施安装、拆卸单位未由专业技术人员现场监督</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74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施工起重机械和整体提升脚手架、模板等自升式架设设施安装、拆卸单位未出具自检合格证明或者出具虚假证明</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75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施工起重机械和整体提升脚手架、模板等自升式架设设施安装、拆卸单位未向施工单位进行安全使用说明，办理移交手续</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76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施工单位未设立安全生产管理机构、配备专职安全生产管理人员或者分部分项工程施工时无专职安全生产管理人员现场监督</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77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施工单位的主要负责人、项目负责人、专职安全生产管理人员、作业人员或者特种作业人员，未经安全教育培训或者经考核不合格即从事相关工作</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78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施工单位未在施工现场的危险部位设置明显的安全警示标志，或者未按照国家有关规定在施工现场设置消防通道、消防水源、配备消防设施和灭火器材</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79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施工单位未向作业人员提供安全防护用具和安全防护服装</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80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施工单位未按照规定在施工起重机械和整体提升脚手架、模板等自升式架设设施验收合格后登记</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81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施工单位使用国家明令淘汰、禁止使用的危及施工安全的工艺、设备、材料</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82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施工单位挪用列入建设工程概算的安全生产作业环境及安全施工措施所需费用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83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施工单位施工前未对有关安全施工的技术要求作出详细说明</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84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施工单位未根据不同施工阶段和周围环境及季节、气候的变化，在施工现场采取相应的安全施工措施，或者在城市市区内的建设工程的施工现场未实行封闭围挡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85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施工单位在尚未竣工的建筑物内设置员工集体宿舍</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86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施工现场临时搭建的建筑物不符合安全使用要求</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87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施工单位未对因建设工程施工可能造成损害的毗邻建筑物、构筑物和地下管线等采取专项防护措施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88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安全防护用具、机械设备、施工机具及配件在进入施工现场前未经查验或者查验不合格施工单位即投入使用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89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施工单位使用未经验收或者验收不合格的施工起重机械和整体提升脚手架、模板等自升式架设设施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90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施工单位委托不具有相应资质的单位承担施工现场安装、拆卸施工起重机械和整体提升脚手架、模板等自升式架设设施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91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施工单位在施工组织设计中未编制安全技术措施、施工现场临时用电方案或者专项施工方案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92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施工单位的主要负责人、项目负责人未履行安全生产管理职责</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93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不服管理、违反规章制度和操作规程冒险作业</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94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施工单位取得资质证书后，降低安全生产条件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《建设工程安全生产管理条例》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95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《建设工程勘察设计管理条例》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96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未经注册，擅自以注册建设工程勘察、设计人员的名义从事建设工程勘察、设计活动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《建设工程勘察设计管理条例》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97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建设工程勘察、设计注册执业人员和其他专业技术人员未受聘于一个建设工程勘察、设计单位或者同时受聘于两个以上建设工程勘察、设计单位，从事建设工程勘察、设计活动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《建设工程勘察设计管理条例》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98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发包方将建设工程勘察、设计业务发包给不具有相应资质等级的建设工程勘察、设计单位</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《建设工程勘察设计管理条例》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99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建设工程勘察、设计单位将所承揽的建设工程勘察、设计转包</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《建设工程勘察设计管理条例》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100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勘察、设计单位未依据项目批准文件，城乡规划及专业规划，国家规定的建设工程勘察、设计深度要求编制建设工程勘察、设计文件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《建设工程勘察设计管理条例》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101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建设单位明示或者暗示设计单位、施工单位违反民用建筑节能强制性标准进行设计、施工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102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建设单位明示或者暗示施工单位使用不符合施工图设计文件要求的墙体材料、保温材料、门窗、采暖制冷系统和照明设备</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103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建设单位采购不符合施工图设计文件要求的墙体材料、保温材料、门窗、采暖制冷系统和照明设备</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104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建设单位使用列入禁止使用目录的技术、工艺、材料和设备</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105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建设单位对不符合民用建筑节能强制性标准的民用建筑项目出具竣工验收合格报告</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106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设计单位未按照民用建筑节能强制性标准进行设计，或者使用列入禁止使用目录的技术、工艺、材料和设备</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bookmarkStart w:id="0" w:name="_GoBack"/>
            <w:bookmarkEnd w:id="0"/>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107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施工单位未按照民用建筑节能强制性标准进行施工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108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施工单位未对进入施工现场的墙体材料、保温材料、门窗、采暖制冷系统和照明设备进行查验</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109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施工单位使用不符合施工图设计文件要求的墙体材料、保温材料、门窗、采暖制冷系统和照明设备</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110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施工单位使用列入禁止使用目录的技术、工艺、材料和设备</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111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工程监理单位未按照民用建筑节能强制性标准实施监理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112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墙体、屋面的保温工程施工时，工程监理单位未采取旁站、巡视和平行检验等形式实施监理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113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对不符合施工图设计文件要求的墙体材料、保温材料、门窗、采暖制冷系统和照明设备，工程监理单位按照符合施工图设计文件要求签字</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114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房地产开发企业销售商品房，未向购买人明示所售商品房的能源消耗指标、节能措施和保护要求、保温工程保修期等信息，或者向购买人明示的所售商品房能源消耗指标与实际能源消耗不符</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115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注册执业人员未执行民用建筑节能强制性标准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116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注册建筑师在建筑设计或者相关业务中侵犯他人合法权益</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《中华人民共和国注册建筑师条例》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117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二级注册建筑师以一级注册建筑师的名义执行业务或者超越国家规定的执业范围执行业务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《中华人民共和国注册建筑师条例》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118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注册建筑师因建筑设计质量不合格发生重大责任事故，造成重大损失</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《中华人民共和国注册建筑师条例》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119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不按有关技术规定施工或者使用不符合工程质量要求的建筑材料和建筑构件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《村庄和集镇规划建设管理条例》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《建制镇规划建设管理办法》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120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违法建设</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未按设计图纸施工或者擅自修改设计图纸</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《村庄和集镇规划建设管理条例》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《建制镇规划建设管理办法》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121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建设单位未按照本规定提供工程周边环境等资料</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122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建设单位未按照本规定在招标文件中列出危大工程清单</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123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建设单位未按照施工合同约定及时支付危大工程施工技术措施费或者相应的安全防护文明施工措施费</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124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建设单位未按照本规定委托具有相应勘察资质的单位进行第三方监测</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125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建设单位未对第三方监测单位报告的异常情况组织采取处置措施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126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勘察单位未在勘察文件中说明地质条件可能造成的工程风险</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127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设计单位未在设计文件中注明涉及危大工程的重点部位和环节，未提出保障工程周边环境安全和工程施工安全的意见的</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128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施工单位未按照本规定编制并审核危大工程专项施工方案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129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施工单位未对超过一定规模的危大工程专项施工方案进行专家论证</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130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施工单位未根据专家论证报告对超过一定规模的危大工程专项施工方案进行修改，或者未按照本规定重新组织专家论证</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131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施工单位未严格按照专项施工方案组织施工，或者擅自修改专项施工方案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132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施工单位项目负责人未按照本规定现场履职或者组织限期整改</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133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施工单位未按照本规定进行施工监测和安全巡视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134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施工单位未按照本规定组织危大工程验收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135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发生险情或者事故时，施工单位未采取应急处置措施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136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施工单位未按照本规定建立危大工程安全管理档案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137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监理单位的总监理工程师未按照本规定审查危大工程专项施工方案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138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发现施工单位未按照专项施工方案实施，监理单位未要求其整改或者停工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139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施工单位拒不整改或者不停止施工时，监理单位未向建设单位和工程所在地住房城乡建设主管部门报告</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监理单位未按规定编制监理实施细则</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140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监理单位未对危大工程施工实施专项巡视检查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141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监理单位未按规定参与组织危大工程验收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142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监理单位未按规定建立危大工程安全管理档案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143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监测单位未取得相应勘察资质从事第三方监测</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144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监测单位未按规定编制监测方案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145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监测单位未按照监测方案开展监测</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146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监测单位发现异常未及时报告</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《危险性较大的分部分项工程安全管理规定》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147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未取得建筑业企业资质承接分包工程</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《房屋建筑和市政基础设施工程施工分包管理办法》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148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未取得施工许可证或者为规避办理施工许可证将工程项目分解后擅自施工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《建筑工程施工许可管理办法》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149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建设单位采用欺骗、贿赂等不正当手段取得施工许可证</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《建筑工程施工许可管理办法》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150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建设单位隐瞒有关情况或者提供虚假材料申请施工许可证</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《建筑工程施工许可管理办法》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151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建设单位伪造或者涂改施工许可证</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《建筑工程施工许可管理办法》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152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“安管人员”隐瞒有关情况或者提供虚假材料申请安全生产考核</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《建筑施工企业主要负责人、项目负责人和专职安全生产管理人员安全生产管理规定》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153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“安管人员”以欺骗、贿赂等不正当手段取得安全生产考核合格证书    </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《建筑施工企业主要负责人、项目负责人和专职安全生产管理人员安全生产管理规定》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154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“安管人员”涂改、倒卖、出租、出借或者以其他形式非法转让安全生产考核合格证书</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《建筑施工企业主要负责人、项目负责人和专职安全生产管理人员安全生产管理规定》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155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建筑施工企业未按规定开展“安管人员”安全生产教育培训考核，或者未按规定如实将考核情况记入安全生产教育培训档案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《建筑施工企业主要负责人、项目负责人和专职安全生产管理人员安全生产管理规定》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156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建筑施工企业未按规定设立安全生产管理机构</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《建筑施工企业主要负责人、项目负责人和专职安全生产管理人员安全生产管理规定》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157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建筑施工企业未按规定配备专职安全生产管理人员</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《建筑施工企业主要负责人、项目负责人和专职安全生产管理人员安全生产管理规定》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158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危险性较大的分部分项工程施工时建筑施工企业未安排专职安全生产管理人员现场监督</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《建筑施工企业主要负责人、项目负责人和专职安全生产管理人员安全生产管理规定》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159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“安管人员”未取得安全生产考核合格证书</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《建筑施工企业主要负责人、项目负责人和专职安全生产管理人员安全生产管理规定》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160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“安管人员”未按规定办理证书变更</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《建筑施工企业主要负责人、项目负责人和专职安全生产管理人员安全生产管理规定》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161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主要负责人、项目负责人未按规定履行安全生产管理职责</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《建筑施工企业主要负责人、项目负责人和专职安全生产管理人员安全生产管理规定》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162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专职安全生产管理人员未按规定履行安全生产管理职责</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《建筑施工企业主要负责人、项目负责人和专职安全生产管理人员安全生产管理规定》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163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工程造价咨询企业在建筑工程计价活动中，出具有虚假记载、误导性陈述的工程造价成果文件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《建筑工程施工发包与承包计价管理办法》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164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审查机构列入名录后不再符合规定条件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《房屋建筑和市政基础设施工程施工图设计文件审查管理办法》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165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审查机构超出范围从事施工图审查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《房屋建筑和市政基础设施工程施工图设计文件审查管理办法》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166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审查机构使用不符合条件审查人员</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《房屋建筑和市政基础设施工程施工图设计文件审查管理办法》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167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审查机构未按规定的内容进行审查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《房屋建筑和市政基础设施工程施工图设计文件审查管理办法》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168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审查机构未按规定上报审查过程中发现的违法违规行为</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《房屋建筑和市政基础设施工程施工图设计文件审查管理办法》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169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审查机构未按规定填写审查意见告知书</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《房屋建筑和市政基础设施工程施工图设计文件审查管理办法》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审查机构未按规定在审查合格书和施工图上签字盖章</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《房屋建筑和市政基础设施工程施工图设计文件审查管理办法》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审查机构已出具审查合格书的施工图，仍有违反法律、法规和工程建设强制性标准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《房屋建筑和市政基础设施工程施工图设计文件审查管理办法》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审查机构出具虚假审查合格书</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《房屋建筑和市政基础设施工程施工图设计文件审查管理办法》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审查人员在虚假审查合格书上签字</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《房屋建筑和市政基础设施工程施工图设计文件审查管理办法》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建设单位压缩合理审查周期的</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《房屋建筑和市政基础设施工程施工图设计文件审查管理办法》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建设单位提供不真实送审资料</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《房屋建筑和市政基础设施工程施工图设计文件审查管理办法》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建设单位对审查机构提出不符合法律、法规和工程建设强制性标准要求</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《房屋建筑和市政基础设施工程施工图设计文件审查管理办法》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建设单位在工程竣工验收合格之日起15日内未办理工程竣工验收备案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《房屋建筑和市政基础设施工程竣工验收备案管理办法》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建设单位将备案机关决定重新组织竣工验收的工程，在重新组织竣工验收前，擅自使用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《房屋建筑和市政基础设施工程竣工验收备案管理办法》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建设单位采用虚假证明文件办理工程竣工验收备案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《房屋建筑和市政基础设施工程竣工验收备案管理办法》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隐瞒有关情况或者提供虚假材料申请注册</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《中华人民共和国注册建筑师条例实施细则》</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 xml:space="preserve">                                                                                                                《注册建造师管理规定》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 xml:space="preserve">                                                                                                                                  《注册监理工程师管理规定》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 xml:space="preserve">                                                                                                                              《勘察设计注册工程师管理规定》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以欺骗、贿赂等不正当手段取得注册证书和执业印章</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《中华人民共和国注册建筑师条例实施细则》</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出租单位、自购建筑起重机械的使用单位未按照规定办理备案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出租单位、自购建筑起重机械的使用单位未按照规定办理注销手续</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出租单位、自购建筑起重机械的使用单位未按照规定建立建筑起重机械安全技术档案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安装单位未按照安全技术标准及安装使用说明书等检查建筑起重机械及现场施工条件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安装单位未制定建筑起重机械安装、拆卸工程生产安全事故应急救援预案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安装单位未将建筑起重机械安装、拆卸工程专项施工方案，安装、拆卸人员名单，安装、拆卸时间等材料报施工总承包单位和监理单位审核后，告知工程所在地县级以上地方人民政府建设主管部门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安装单位未按照规定建立建筑起重机械安装、拆卸工程档案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安装单位未按照建筑起重机械安装、拆卸工程专项施工方案及安全操作规程组织安装、拆卸作业</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使用单位未根据不同施工阶段、周围环境以及季节、气候的变化，对建筑起重机械采取相应的安全防护措施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使用单位未制定建筑起重机械生产安全事故应急救援预案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使用单位未设置相应的设备管理机构或者配备专职的设备管理人员</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建筑起重机械出现故障或者发生异常情况时，使用单位未立即停止使用，或未待消除故障和事故隐患后，再重新投入使用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使用单位未指定专职设备管理人员进行现场监督检查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使用单位擅自在建筑起重机械上安装非原制造厂制造的标准节和附着装置</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施工总承包单位未向安装单位提供拟安装设备位置的基础施工资料，确保建筑起重机械进场安装、拆卸所需的施工条件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施工总承包单位未审核安装单位、使用单位的资质证书、安全生产许可证和特种作业人员的特种作业操作资格证书</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施工总承包单位未审核安装单位制定的建筑起重机械安装、拆卸工程专项施工方案和生产安全事故应急救援预案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施工总承包单位未审核使用单位制定的建筑起重机械生产安全事故应急救援预案</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施工现场有多台塔式起重机作业时，施工单位未组织制定并实施防止塔式起重机相互碰撞的安全措施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监理单位未审核建筑起重机械特种设备制造许可证、产品合格证、制造监督检验证明、备案证明等文件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监理单位未审核建筑起重机械安装单位、使用单位的资质证书、安全生产许可证和特种作业人员的特种作业操作资格证书</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监理单位未监督安装单位执行建筑起重机械安装、拆卸工程专项施工方案情况</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监理单位未监督检查建筑起重机械的使用情况</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建设单位未按照规定协调组织制定防止多台塔式起重机相互碰撞的安全措施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接到监理单位报告后，建设单位未责令安装单位、使用单位立即停工整改</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《建筑起重机械安全监督管理规定》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建设单位未为勘察工作提供必要的现场工作条件或者未提供真实、可靠原始资料</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《建设工程勘察质量管理办法》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工程勘察企业未按照工程建设强制性标准进行勘察、弄虚作假、提供虚假成果资料</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《建设工程勘察质量管理办法》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工程勘察企业勘察文件没有责任人签字或者签字不全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《建设工程勘察质量管理办法》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工程勘察企业原始记录不按照规定记录或者记录不完整</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《建设工程勘察质量管理办法》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工程勘察企业不参加施工验槽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《建设工程勘察质量管理办法》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项目完成后，工程勘察企业勘察文件不归档保存</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《建设工程勘察质量管理办法》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建设单位未按照建筑节能强制性标准委托设计，擅自修改节能设计文件，明示或暗示设计单位、施工单位违反建筑节能设计强制性标准，降低工程建设质量</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设计单位未按照建筑节能强制性标准进行设计,且未进行修改；两年内，累计三项工程未按照建筑节能强制性标准设计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施工单位未按照节能设计进行施工；两年内，累计三项工程未按照符合节能标准要求的设计进行施工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《民用建筑节能管理规定》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未取得相应的资质，擅自承担本办法规定的检测业务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检测机构隐瞒有关情况或者提供虚假材料申请资质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以欺骗、贿赂等不正当手段取得资质证书</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检测机构超出资质范围从事检测活动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检测机构涂改、倒卖、出租、出借、转让资质证书</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检测机构使用不符合条件的检测人员</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检测机构未按规定上报发现的违法违规行为和检测不合格事项</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检测机构未按规定在检测报告上签字盖章</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检测机构未按照国家有关工程建设强制性标准进行检测</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检测机构档案资料管理混乱，造成检测数据无法追溯</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检测机构转包检测业务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检测机构伪造检测数据，出具虚假检测报告或鉴定结论</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委托方委托未取得相应资质的检测机构进行检测</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委托方明示或暗示检测机构出具虚假检测报告，篡改或伪造检测报告</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《建设工程质量检测管理办法》</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《西藏自治区建设工程质量检测管理细则（试行）》</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勘察、设计单位违反工程建设强制性标准进行勘察、设计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《实施工程建设强制性标准监督规定》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施工单位违反工程建设强制性标准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《实施工程建设强制性标准监督规定》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工程监理单位违反强制性标准规定，将不合格的建设工程以及建筑材料、建筑构配件和设备按照合格签字的</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《实施工程建设强制性标准监督规定》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施工单位在工程竣工验收后，不向建设单位出具质量保修书</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《房屋建筑工程质量保修办法》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施工单位关于质量保修的内容、期限违反规定</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《房屋建筑工程质量保修办法》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施工单位不履行保修义务或者拖延履行保修义务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《房屋建筑工程质量保修办法》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未按有关规范、标准、规定进行设计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《城市居民住宅安全防范设施建设管理规定》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擅自改动设计文件中安全防范设施内容的</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《城市居民住宅安全防范设施建设管理规定》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使用未经鉴定和鉴定不合格的产品、材料、设备</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《城市居民住宅安全防范设施建设管理规定》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安全防范设施未经验收或验收不合格而交付使用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《城市居民住宅安全防范设施建设管理规定》</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240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施工工地未设置硬质密闭围挡，或者未采取覆盖、分段作业、择时施工、洒水抑尘、冲洗地面和车辆等有效防尘降尘措施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《中华人民共和国大气污染防治法》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241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建筑土方、工程渣土、建筑垃圾未及时清运，或者未采用密闭式防尘网遮盖</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《中华人民共和国大气污染防治法》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242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建设单位未对暂时不能开工的建设用地的裸露地面进行覆盖，或者未对超过三个月不能开工的建设用地的裸露地面进行绿化、铺装或者遮盖</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《中华人民共和国大气污染防治法》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243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随意倾倒、抛撒或者堆放生活垃圾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《中华人民共和国固体废物污染环境防治法》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244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擅自关闭、闲置或者拆除生活垃圾处置设施、场所</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《中华人民共和国固体废物污染环境防治法》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245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工程施工单位不及时清运施工过程中产生的固体废物，造成环境污染</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《中华人民共和国固体废物污染环境防治法》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246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工程建设管理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工程施工单位不按照环境卫生行政主管部门的规定对施工过程中产生的固体废物进行利用或者处置</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《中华人民共和国固体废物污染环境防治法》</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247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住宅物业的建设单位未通过招投标的方式选聘物业服务企业或者未经批准，擅自采用协议方式选聘物业服务企业</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248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建设单位擅自处分属于业主的物业共用部位、共用设施设备的所有权或者使用权</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249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逾期仍不移交有关资料</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物业服务企业将一个物业管理区域内的全部物业管理一并委托给他人</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挪用专项维修资金</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建设单位在物业管理区域内不按照规定配置必要的物业管理用房</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未经业主大会同意，物业服务企业擅自改变物业管理用房的用途</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擅自改变物业管理区域内按照规划建设的公共建筑和共用设施用途</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擅自占用、挖掘物业管理区域内道路、场地，损害业主共同利益</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擅自利用物业共用部位、共用设施设备进行经营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《物业管理条例》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both"/>
              <w:textAlignment w:val="center"/>
              <w:rPr>
                <w:rFonts w:hint="eastAsia" w:ascii="仿宋_GB2312" w:hAnsi="宋体" w:eastAsia="仿宋_GB2312" w:cs="仿宋_GB2312"/>
                <w:i w:val="0"/>
                <w:color w:val="000000"/>
                <w:kern w:val="0"/>
                <w:sz w:val="18"/>
                <w:szCs w:val="18"/>
                <w:u w:val="none"/>
                <w:lang w:val="en-US" w:eastAsia="zh-CN"/>
              </w:rPr>
            </w:pPr>
            <w:r>
              <w:rPr>
                <w:rFonts w:hint="eastAsia" w:ascii="仿宋_GB2312" w:hAnsi="宋体" w:eastAsia="仿宋_GB2312" w:cs="仿宋_GB2312"/>
                <w:i w:val="0"/>
                <w:color w:val="000000"/>
                <w:kern w:val="0"/>
                <w:sz w:val="18"/>
                <w:szCs w:val="18"/>
                <w:u w:val="none"/>
                <w:lang w:val="en-US" w:eastAsia="zh-CN"/>
              </w:rPr>
              <w:t>工布江达县住建局</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未在城市道路施工现场设置明显标志和安全防围设施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依附于城市道路建设各种管线、杆线等设施，不按照规定办理批准手续</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未按照批准的位置、面积、期限占用或者挖掘城市道路，或者需要移动位置、扩大面积、延长时间，未提前办理变更审批手续</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260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在雨水、污水分流地区，建设单位、施工单位将雨水管网、污水管网相互混接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261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城镇排水与污水处理设施覆盖范围内的排水单位和个人，未按照国家有关规定将污水排入城镇排水设施，或者在雨水、污水分流地区将污水排入雨水管网</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262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排水户未取得污水排入排水管网许可证向城镇排水设施排放污水</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263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排水户不按照污水排入排水管网许可证的要求排放污水</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264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擅自拆除、改动城镇排水与污水处理设施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265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城市的新建、扩建和改建工程项目未按规定配套建设节约用水设施或者节约用水设施经验收不合格</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266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在城镇排水与污水处理设施覆盖范围内，未按照国家有关规定将污水排入城镇排水设施，或者在雨水、污水分流地区将污水排入雨水管网</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267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排水户未取得排水许可，向城镇排水设施排放污水</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268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排水户未按照排水许可证的要求，向城镇排水设施排放污水</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269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在城市照明设施上刻划、涂污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270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在城市照明设施安全距离内，擅自植树、挖坑取土或者设置其他物体，或者倾倒含酸、碱、盐等腐蚀物或者具有腐蚀性的废渣、废液</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271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擅自在城市照明设施上张贴、悬挂、设置宣传品、广告</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272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擅自在城市照明设施上架设线缆、安置其它设施或者接用电源</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273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擅自迁移、拆除、利用城市照明设施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274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其他可能影响城市照明设施正常运行的行为</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275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单位或者个人擅自在城市桥梁上架设各类管线、设置广告等辅助物</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276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单位和个人擅自在城市桥梁施工控制范围内从事河道疏浚、挖掘、打桩、地下管道顶进、爆破等</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277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超限机动车辆、履带车、铁轮车等需经过城市桥梁的，在报公安交通管理部门审批前，未先经城市人民政府市政工程设施行政主管部门同意，或未采取相应技术措施就通行</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278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绿化管理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不服从公共绿地管理单位管理的商业、服务摊点</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279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在城市建筑物、设施以及树木上涂写、刻画或者未经批准张挂、张贴宣传品等</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在城市人民政府规定的街道的临街建筑物的阳台和窗外，堆放、吊挂有碍市容的物品</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运输液体、散装货物不作密封、包扎、覆盖，造成泄漏、遗撒</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临街工地不设置护栏或者不作遮挡、停工场地不及时整理并作必要覆盖或者竣工后不及时清理和平整场地，影响市容和环境卫生</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饲养家畜家禽影响市容和环境卫生</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未经城市人民政府市容环境卫生行政主管部门同意，擅自设置大型户外广告，影响市容</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未经城市人民政府市容环境卫生行政主管部门批准，擅自在街道两侧和公共场地堆放物料，搭建建筑物、构筑物或者其他设施，影响市容</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对涉嫌从事无照经营的场所，予以查封；对涉嫌用于无照经营的工具、设备、原材料、产品（商品）等物品，予以查封、扣押</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1.除强制决定外其他内容：长期公开（动态调整）；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2.强制决定：20个工作日内。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占用城市道路期满或者挖掘城市道路后，不及时清理现场</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擅自占用或者挖掘城市道路</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履带车、铁轮车或者超重、超高、超长车辆擅自在城市道路上行驶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擅自在城市道路上建设建筑物、构筑物</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擅自在桥梁或者路灯设施上设置广告牌或者其他挂浮物</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其他损害、侵占城市道路的行为</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违法建设</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未取得建设工程规划许可证或者未按照建设工程规划许可证的规定进行建设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违法建设</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建设单位或者个人未经批准进行临时建设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违法建设</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建设单位或者个人未按照批准内容进行临时建设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违法建设</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临时建筑物、构筑物超过批准期限建设单位或者个人不拆除</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违法建设</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城乡规划主管部门作出责令停止建设或者限期拆除的决定后，当事人不停止建设或者逾期不拆除</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1.除强制决定外其他内容：长期公开（动态调整）；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2.强制决定：20个工作日内。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违法建设</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凡不符合城市容貌标准、环境卫生标准的建筑物或者设施，逾期未改造或者未拆除</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1.除强制决定外其他内容：长期公开（动态调整）；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2.强制决定：20个工作日内。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未取得燃气经营许可证从事燃气经营活动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300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燃气经营者不按照燃气经营许可证的规定从事燃气经营活动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301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燃气经营者拒绝向市政燃气管网覆盖范围内符合用气条件的单位或者个人供气</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302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燃气经营者倒卖、抵押、出租、出借、转让、涂改燃气经营许可证</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303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燃气经营者未履行必要告知义务擅自停止供气、调整供气量，或者未经审批擅自停业或者歇业</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304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燃气经营者向未取得燃气经营许可证的单位或者个人提供用于经营的燃气</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305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燃气经营者在不具备安全条件的场所储存燃气</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306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燃气经营者要求燃气用户购买其指定的产品或者接受其提供的服务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307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燃气经营者未向燃气用户持续、稳定、安全供应符合国家质量标准的燃气，或者未对燃气用户的燃气设施定期进行安全检查</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308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擅自为非自有气瓶充装燃气或者销售未经许可的充装单位充装的瓶装燃气</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309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销售充装单位擅自为非自有气瓶充装的瓶装燃气</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冒用其他企业名称或者标识从事燃气经营、服务活动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燃气用户及相关单位和个人擅自操作公用燃气阀门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燃气用户及相关单位和个人将燃气管道作为负重支架或者接地引线</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燃气用户及相关单位和个人安装、使用不符合气源要求的燃气燃烧器具</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燃气用户及相关单位和个人擅自安装、改装、拆除户内燃气设施和燃气计量装置</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燃气用户及相关单位和个人在不具备安全条件的场所使用、储存燃气</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燃气用户及相关单位和个人改变燃气用途或者转供燃气</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未设立售后服务站点或者未配备经考核合格的燃气燃烧器具安装、维修人员</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燃气燃烧器具的安装、维修不符合国家有关标准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在燃气设施保护范围内进行爆破、取土等作业或者动用明火</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在燃气设施保护范围内倾倒、排放腐蚀性物质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在燃气设施保护范围内放置易燃易爆物品或者种植深根植物</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在燃气设施保护范围内未与燃气经营者共同制定燃气设施保护方案，采取相应的安全保护措施，从事敷设管道、打桩、顶进、挖掘、钻探等可能影响燃气设施安全活动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侵占、毁损、擅自拆除、移动燃气设施或者擅自改动市政燃气设施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毁损、覆盖、涂改、擅自拆除或者移动燃气设施安全警示标志</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市政公用管理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建设工程施工范围内有地下燃气管线等重要燃气设施，建设单位未会同施工单位与管道燃气经营者共同制定燃气设施保护方案，或者建设单位、施工单位未采取相应的安全保护措施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不按规定的时间、地点、方式，倾倒垃圾、粪便</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不履行卫生责任区清扫保洁义务或者不按规定清运、处理垃圾和粪便</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运输液体、散装货物不作密封、包扎、覆盖，造成泄漏、遗撒</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330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未经批准擅自拆除环境卫生设施或者未按批准的拆迁方案进行拆迁</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331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损坏各类环境卫生设施及其附属设施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332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单位和个人未按规定缴纳城市生活垃圾处理费</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333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未按照城市生活垃圾治理规划和环境卫生设施标准配套建设城市生活垃圾收集设施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334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城市生活垃圾处置设施未经验收或者验收不合格投入使用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335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未经批准擅自关闭、闲置或者拆除城市生活垃圾处置设施、场所</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336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随意倾倒、抛洒、堆放城市生活垃圾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337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未经批准从事城市生活垃圾经营性清扫、收集、运输或者处置活动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338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从事城市生活垃圾经营性清扫、收集、运输的企业在运输过程中沿途丢弃、遗撒生活垃圾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339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从事生活垃圾经营性清扫、收集、运输的企业不按照环境卫生作业标准和作业规范，在规定的时间内及时清扫、收运城市生活垃圾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340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从事生活垃圾经营性清扫、收集、运输的企业未将收集的城市生活垃圾运到直辖市、市、县人民政府建设（环境卫生）主管部门认可的处置场所</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341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从事生活垃圾经营性清扫、收集、运输的企业清扫、收运城市生活垃圾后，未对生活垃圾收集设施及时保洁、复位，清理作业场地，保持生活垃圾收集设施和周边环境的干净整洁</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342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从事生活垃圾经营性清扫、收集、运输的企业用于收集、运输城市生活垃圾的车辆、船舶未做到密闭、完好和整洁</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343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从事生活垃圾经营性清扫、收集、运输的企业未严格按照国家有关规定和技术标准，处置城市生活垃圾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344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从事生活垃圾经营性清扫、收集、运输的企业未按照规定处理处置过程中产生的污水、废气、废渣、粉尘等，防止二次污染</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345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从事生活垃圾经营性清扫、收集、运输的企业未按照所在地建设（环境卫生）主管部门规定的时间和要求接收生活垃圾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346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从事生活垃圾经营性清扫、收集、运输的企业未按照要求配备城市生活垃圾处置设备、设施，保证设施、设备运行良好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347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从事生活垃圾经营性清扫、收集、运输的企业未保证城市生活垃圾处置站、场（厂）环境整洁</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348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从事生活垃圾经营性清扫、收集、运输的企业未按照要求配备合格的管理人员及操作人员</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349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从事生活垃圾经营性清扫、收集、运输的企业未对每日收运、进出场站、处置的生活垃圾进行计量，或未按照要求将统计数据和报表报送所在地建设（环境卫生）主管部门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从事城市生活垃圾经营性清扫、收集、运输的企业，未经批准擅自停业、歇业</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从事城市生活垃圾经营性处置的企业，未经批准擅自停业、歇业</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将建筑垃圾混入生活垃圾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擅自设立弃置场受纳建筑垃圾    </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建筑垃圾储运消纳场受纳工业垃圾、生活垃圾和有毒有害垃圾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施工单位未及时清运工程施工过程中产生的建筑垃圾，造成环境污染</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施工单位将建筑垃圾交给个人或者未经核准从事建筑垃圾运输的单位处置</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处置建筑垃圾的单位在运输建筑垃圾过程中沿途丢弃、遗撒建筑垃圾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涂改、倒卖、出租、出借或者以其他形式非法转让城市建筑垃圾处置核准文件</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未经核准擅自处置建筑垃圾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处置超出核准范围的建筑垃圾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任何单位和个人随意倾倒、抛撒或者堆放建筑垃圾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擅自占用城市公厕规划用地或者改变其性质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建设单位经批准使用的土地含有城市公厕规划用地的，建设单位未按照城市公厕规划和城市人民政府环境卫生行政主管部门的要求修建公厕，并向社会开放使用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未按分工负责城市公厕的建设和维修管理    </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公共建筑附设的公厕及其卫生设施的设计和安装，不符合国家和地方的有关标准</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对于损坏严重或者年久失修的公厕，有关单位未按照分工负责建设和维修管理，或在拆除重建时未先建临时公厕</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独立设置的城市公厕竣工时，建设单位未通知城市人民政府环境卫生主管部门或者其指定的部门参加验收；将验收不合格的独立设置的城市公厕交付使用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在公厕内乱丢垃圾、污物，随地吐痰，乱涂乱画</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370</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破坏公厕设施、设备</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371</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未经批准擅自占用或者改变公厕使用性质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372</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市容环境卫生管理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在运输过程中沿途丢弃、遗撒生活垃圾</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373</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绿化管理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损坏城市树木花草    </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374</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绿化管理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擅自砍伐城市树木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375</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绿化管理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砍伐、擅自迁移古树名木或者因养护不善致使古树名木受到损伤或者死亡</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376</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绿化管理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损坏城市绿化设施</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■政府网站</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377</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绿化管理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未经同意擅自占用城市绿化用地</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■政府网站</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378</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绿化管理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不服从公共绿地管理单位管理的商业、服务摊点</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■政府网站</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textDirection w:val="lrTb"/>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379</w:t>
            </w:r>
          </w:p>
        </w:tc>
        <w:tc>
          <w:tcPr>
            <w:tcW w:w="819" w:type="dxa"/>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绿化管理</w:t>
            </w:r>
          </w:p>
        </w:tc>
        <w:tc>
          <w:tcPr>
            <w:tcW w:w="1341"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在城市绿地范围内进行拦河截溪、取土采石、设置垃圾堆场、排放污水以及其他对城市生态环境造成破坏活动</w:t>
            </w:r>
          </w:p>
        </w:tc>
        <w:tc>
          <w:tcPr>
            <w:tcW w:w="1975"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1.机构职能、权责清单、执法人员名单；2.执法程序或行政强制流程图；3.执法依据；</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4.行政处罚自由裁量基准；5.咨询、监督投诉方式；6.处罚决定；</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7.救济渠道。</w:t>
            </w:r>
          </w:p>
        </w:tc>
        <w:tc>
          <w:tcPr>
            <w:tcW w:w="1817"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《城市道路管理条例》</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《政府信息公开条例》</w:t>
            </w:r>
          </w:p>
        </w:tc>
        <w:tc>
          <w:tcPr>
            <w:tcW w:w="1583"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1.除处罚决定外其他内容：长期公开（动态调整）；</w:t>
            </w:r>
            <w:r>
              <w:rPr>
                <w:rFonts w:hint="eastAsia" w:ascii="宋体" w:hAnsi="宋体" w:eastAsia="宋体" w:cs="宋体"/>
                <w:i w:val="0"/>
                <w:color w:val="000000"/>
                <w:kern w:val="0"/>
                <w:sz w:val="18"/>
                <w:szCs w:val="18"/>
                <w:u w:val="none"/>
                <w:lang w:val="en-US" w:eastAsia="zh-CN"/>
              </w:rPr>
              <w:br/>
            </w:r>
            <w:r>
              <w:rPr>
                <w:rFonts w:hint="eastAsia" w:ascii="宋体" w:hAnsi="宋体" w:eastAsia="宋体" w:cs="宋体"/>
                <w:i w:val="0"/>
                <w:color w:val="000000"/>
                <w:kern w:val="0"/>
                <w:sz w:val="18"/>
                <w:szCs w:val="18"/>
                <w:u w:val="none"/>
                <w:lang w:val="en-US" w:eastAsia="zh-CN"/>
              </w:rPr>
              <w:t>2.处罚决定：20个工作日内。</w:t>
            </w:r>
          </w:p>
        </w:tc>
        <w:tc>
          <w:tcPr>
            <w:tcW w:w="1217" w:type="dxa"/>
            <w:textDirection w:val="lrTb"/>
            <w:vAlign w:val="center"/>
          </w:tcPr>
          <w:p>
            <w:pPr>
              <w:widowControl/>
              <w:jc w:val="left"/>
              <w:textAlignment w:val="center"/>
              <w:rPr>
                <w:rFonts w:hint="eastAsia" w:ascii="仿宋_GB2312" w:hAnsi="宋体" w:eastAsia="仿宋_GB2312" w:cs="仿宋_GB2312"/>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县</w:t>
            </w:r>
            <w:r>
              <w:rPr>
                <w:rFonts w:hint="eastAsia" w:ascii="宋体" w:hAnsi="宋体" w:cs="宋体"/>
                <w:i w:val="0"/>
                <w:color w:val="000000"/>
                <w:kern w:val="0"/>
                <w:sz w:val="18"/>
                <w:szCs w:val="18"/>
                <w:u w:val="none"/>
                <w:lang w:val="en-US" w:eastAsia="zh-CN"/>
              </w:rPr>
              <w:t>城管局</w:t>
            </w:r>
            <w:r>
              <w:rPr>
                <w:rFonts w:hint="eastAsia" w:ascii="宋体" w:hAnsi="宋体" w:eastAsia="宋体" w:cs="宋体"/>
                <w:i w:val="0"/>
                <w:color w:val="000000"/>
                <w:kern w:val="0"/>
                <w:sz w:val="18"/>
                <w:szCs w:val="18"/>
                <w:u w:val="none"/>
                <w:lang w:val="en-US" w:eastAsia="zh-CN"/>
              </w:rPr>
              <w:t>或相关行政主管部门</w:t>
            </w:r>
          </w:p>
        </w:tc>
        <w:tc>
          <w:tcPr>
            <w:tcW w:w="2050" w:type="dxa"/>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■政府网站      </w:t>
            </w:r>
          </w:p>
        </w:tc>
        <w:tc>
          <w:tcPr>
            <w:tcW w:w="7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33" w:type="dxa"/>
            <w:vAlign w:val="center"/>
          </w:tcPr>
          <w:p>
            <w:pPr>
              <w:jc w:val="center"/>
              <w:rPr>
                <w:rFonts w:hint="eastAsia" w:ascii="仿宋_GB2312" w:hAnsi="宋体" w:eastAsia="仿宋_GB2312" w:cs="宋体"/>
                <w:sz w:val="18"/>
                <w:szCs w:val="18"/>
              </w:rPr>
            </w:pPr>
          </w:p>
        </w:tc>
        <w:tc>
          <w:tcPr>
            <w:tcW w:w="617"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650" w:type="dxa"/>
            <w:vAlign w:val="center"/>
          </w:tcPr>
          <w:p>
            <w:pPr>
              <w:jc w:val="center"/>
              <w:rPr>
                <w:rFonts w:hint="eastAsia" w:ascii="仿宋_GB2312" w:hAnsi="宋体" w:eastAsia="仿宋_GB2312" w:cs="宋体"/>
                <w:sz w:val="18"/>
                <w:szCs w:val="18"/>
              </w:rPr>
            </w:pPr>
          </w:p>
        </w:tc>
        <w:tc>
          <w:tcPr>
            <w:tcW w:w="716" w:type="dxa"/>
            <w:vAlign w:val="center"/>
          </w:tcPr>
          <w:p>
            <w:pPr>
              <w:widowControl/>
              <w:jc w:val="center"/>
              <w:textAlignment w:val="center"/>
              <w:rPr>
                <w:rFonts w:hint="default" w:ascii="Arial" w:hAnsi="Arial" w:eastAsia="宋体" w:cs="Arial"/>
                <w:i w:val="0"/>
                <w:color w:val="000000"/>
                <w:kern w:val="0"/>
                <w:sz w:val="18"/>
                <w:szCs w:val="18"/>
                <w:u w:val="none"/>
                <w:lang w:val="en-US" w:eastAsia="zh-CN"/>
              </w:rPr>
            </w:pPr>
            <w:r>
              <w:rPr>
                <w:rFonts w:hint="default" w:ascii="Arial" w:hAnsi="Arial" w:eastAsia="宋体" w:cs="Arial"/>
                <w:i w:val="0"/>
                <w:color w:val="000000"/>
                <w:kern w:val="0"/>
                <w:sz w:val="18"/>
                <w:szCs w:val="18"/>
                <w:u w:val="none"/>
                <w:lang w:val="en-US" w:eastAsia="zh-CN"/>
              </w:rPr>
              <w:t>√</w:t>
            </w:r>
          </w:p>
        </w:tc>
        <w:tc>
          <w:tcPr>
            <w:tcW w:w="705" w:type="dxa"/>
            <w:vAlign w:val="center"/>
          </w:tcPr>
          <w:p>
            <w:pPr>
              <w:jc w:val="center"/>
              <w:rPr>
                <w:rFonts w:hint="eastAsia" w:ascii="仿宋_GB2312" w:hAnsi="Arial" w:eastAsia="仿宋_GB2312" w:cs="Arial"/>
                <w:sz w:val="18"/>
                <w:szCs w:val="18"/>
              </w:rPr>
            </w:pPr>
          </w:p>
        </w:tc>
      </w:tr>
    </w:tbl>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2020-12-23T13:46:00Z</dcterms:created>
  <dc:creator>%E5%90%B4%E7%90%BC</dc:creator>
  <cp:lastModifiedBy>xxk</cp:lastModifiedBy>
  <dcterms:modified xsi:type="dcterms:W3CDTF">2020-12-28T11:55:47Z</dcterms:modified>
  <dc:title>（十八）林芝市工布江达县城市综合执法领域基层政务公开标准目录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