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林芝市工布江达县委组织部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年政府信息工作年度报告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</w:pP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根据《中华人民共和国政府信息公开条例》（国务院令第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711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号，以下简称《条例》）以及《国务院办公厅政府信息与政务公开办公室关于印发〈中华人民共和国政府信息公开工作年度报告格式〉的通知》（国办公开办函〔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号）要求，现公布林芝市工布江达县委组织部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年政府信息工作年度报告。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特别说明外，所列数据统计时限为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报告电子版可在工布江达县人民政府网下载（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www.gongbujiangda.gov.cn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公众如需进一步咨询了解相关信息，请与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工布江达县委组织部联系（地址：西藏自治区林芝市工布江达县果林北路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号；邮编：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860200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；电话：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5412112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）。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cs="Calibri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一、总体情况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工布江达县委组织部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坚持以为民服务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实事求是的精神为指导，认真贯彻落实《中华人民共和国政府信息公开条例》等相关文件精神，按照县委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政府的统一部署，坚持以“公开为常态、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不公开为例外”的原则，公开、公正、公平、透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明、便民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开展各项工作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大力推行政务公开电子化和信息化，及时主动公开政府信息，深入推进政府信息公开工作，坚持把政府信息公开作为加强党风廉政建设、提高工作效能的重要举措，坚持以信息公开取信于民，突出推进重点领域政府信息公开和政府决策公开，不断创新政府信息公开载体形式，稳步推进了政府信息公开工作的扎实有效开展。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="643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shd w:val="clear" w:color="auto" w:fill="FFFFFF"/>
        </w:rPr>
        <w:t>（一）主动公开情况。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根据自治区、市、县统一部署，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坚持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做好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我部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日常工作，特别是对于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基层党建、干部关心关爱、人才引进、老干部关怀、驻村活动开展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做到公开，公正，透明，使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工作在阳光下运行。本年度，我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依据区党委、市委及县委的有关要求，以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深入贯彻中央八项规定精神学习教育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契机，及时主动地在“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工布江达组工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”公众号上更新发布内容，截止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日，在“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工布江达组工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”微信公众号及时转载上级政策、公开工作动态、重点工作推进情况等政务信息内容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70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条，让群众更好地了解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组织部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工作动态。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="643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shd w:val="clear" w:color="auto" w:fill="FFFFFF"/>
        </w:rPr>
        <w:t>（二）依申请公开情况。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严格按照新修订的《中华人民共和国政府信息公开条例》要求，及时修订依申请公开有关工作制度，对“依申请公开”栏目进行规范，确保我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依申请公开答复规范及时。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共收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到依申请公开事项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项。</w:t>
      </w:r>
    </w:p>
    <w:p w:rsidR="00000000" w:rsidRDefault="009C3983" w:rsidP="00D51800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shd w:val="clear" w:color="auto" w:fill="FFFFFF"/>
        </w:rPr>
        <w:t>（三）政府信息管理情况。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严格按照有关规定，及时更新、公开政府信息，除涉及国家、商业机密和个人隐私及其他依法不予公开的内容外，进一步加大公开力度、丰富公开内容。进一步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完善保密制度，健全审查机制。根据信息公开条例和相关保密制度的要求，政府信息的公开，要经主要领导或分管领导审核批准后，由办公室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办公室进行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审批登记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发布信息。</w:t>
      </w:r>
    </w:p>
    <w:p w:rsidR="00000000" w:rsidRDefault="009C3983" w:rsidP="00D51800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shd w:val="clear" w:color="auto" w:fill="FFFFFF"/>
        </w:rPr>
        <w:t>（四）平台建设情况。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根据县政府信息公开工作的有关要求，明确一名副科级领导和一名专职工作人员负责信息公开工作，并完善相关工作制度规范，使政府信息公开工作职责进一步明确、责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任进一步落实，确保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部内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政府信息公开工作运转正常。</w:t>
      </w:r>
    </w:p>
    <w:p w:rsidR="00000000" w:rsidRDefault="009C3983" w:rsidP="00D51800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shd w:val="clear" w:color="auto" w:fill="FFFFFF"/>
        </w:rPr>
        <w:t>（五）监督保障情况。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进一步加强对政务公开工作的领导，步健全政府信息公开工作机制，将信息公开工作纳入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工作范畴，做好组织协调，加强部门之间的配合，形成主要领导亲自抓、分管领导具体抓的工作机制，进一步保障公开实效。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="640"/>
        <w:jc w:val="both"/>
        <w:rPr>
          <w:rFonts w:cs="Calibri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W w:w="9359" w:type="dxa"/>
        <w:jc w:val="center"/>
        <w:tblInd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43"/>
        <w:gridCol w:w="2250"/>
        <w:gridCol w:w="1888"/>
        <w:gridCol w:w="1978"/>
      </w:tblGrid>
      <w:tr w:rsidR="00000000">
        <w:trPr>
          <w:trHeight w:val="477"/>
          <w:jc w:val="center"/>
        </w:trPr>
        <w:tc>
          <w:tcPr>
            <w:tcW w:w="9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第二十条第（一）项</w:t>
            </w:r>
          </w:p>
        </w:tc>
      </w:tr>
      <w:tr w:rsidR="00000000">
        <w:trPr>
          <w:trHeight w:val="923"/>
          <w:jc w:val="center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本年制发件数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现行有效件数</w:t>
            </w:r>
          </w:p>
        </w:tc>
      </w:tr>
      <w:tr w:rsidR="00000000">
        <w:trPr>
          <w:trHeight w:val="477"/>
          <w:jc w:val="center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规章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</w:t>
            </w:r>
          </w:p>
        </w:tc>
      </w:tr>
      <w:tr w:rsidR="00000000">
        <w:trPr>
          <w:trHeight w:val="477"/>
          <w:jc w:val="center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行政规范性文件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/>
              <w:jc w:val="center"/>
              <w:textAlignment w:val="center"/>
              <w:rPr>
                <w:rFonts w:cs="Calibri" w:hint="eastAsia"/>
                <w:sz w:val="21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/>
              <w:jc w:val="center"/>
              <w:textAlignment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/>
              <w:jc w:val="center"/>
              <w:textAlignment w:val="center"/>
              <w:rPr>
                <w:rFonts w:cs="Calibri"/>
                <w:sz w:val="21"/>
                <w:szCs w:val="21"/>
                <w:lang/>
              </w:rPr>
            </w:pPr>
            <w:r>
              <w:rPr>
                <w:rFonts w:ascii="仿宋" w:eastAsia="仿宋" w:hAnsi="仿宋" w:cs="仿宋"/>
                <w:sz w:val="20"/>
                <w:szCs w:val="20"/>
                <w:lang/>
              </w:rPr>
              <w:t>1</w:t>
            </w:r>
          </w:p>
        </w:tc>
      </w:tr>
      <w:tr w:rsidR="00000000">
        <w:trPr>
          <w:trHeight w:val="477"/>
          <w:jc w:val="center"/>
        </w:trPr>
        <w:tc>
          <w:tcPr>
            <w:tcW w:w="93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第二十条第（五）项</w:t>
            </w:r>
          </w:p>
        </w:tc>
      </w:tr>
      <w:tr w:rsidR="00000000">
        <w:trPr>
          <w:trHeight w:val="632"/>
          <w:jc w:val="center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本年处理决定数量</w:t>
            </w:r>
          </w:p>
        </w:tc>
      </w:tr>
      <w:tr w:rsidR="00000000">
        <w:trPr>
          <w:trHeight w:val="482"/>
          <w:jc w:val="center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</w:t>
            </w:r>
          </w:p>
        </w:tc>
      </w:tr>
      <w:tr w:rsidR="00000000">
        <w:trPr>
          <w:trHeight w:val="578"/>
          <w:jc w:val="center"/>
        </w:trPr>
        <w:tc>
          <w:tcPr>
            <w:tcW w:w="93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第二十条第（六</w:t>
            </w:r>
            <w:r>
              <w:rPr>
                <w:rFonts w:ascii="宋体" w:hAnsi="宋体" w:cs="宋体" w:hint="eastAsia"/>
                <w:sz w:val="20"/>
                <w:szCs w:val="20"/>
              </w:rPr>
              <w:t>）项</w:t>
            </w:r>
          </w:p>
        </w:tc>
      </w:tr>
      <w:tr w:rsidR="00000000">
        <w:trPr>
          <w:trHeight w:val="607"/>
          <w:jc w:val="center"/>
        </w:trPr>
        <w:tc>
          <w:tcPr>
            <w:tcW w:w="3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6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本年处理决定数量</w:t>
            </w:r>
          </w:p>
        </w:tc>
      </w:tr>
      <w:tr w:rsidR="00000000">
        <w:trPr>
          <w:trHeight w:val="567"/>
          <w:jc w:val="center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</w:t>
            </w:r>
          </w:p>
        </w:tc>
      </w:tr>
      <w:tr w:rsidR="00000000">
        <w:trPr>
          <w:trHeight w:val="477"/>
          <w:jc w:val="center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</w:t>
            </w:r>
          </w:p>
        </w:tc>
      </w:tr>
      <w:tr w:rsidR="00000000">
        <w:trPr>
          <w:trHeight w:val="477"/>
          <w:jc w:val="center"/>
        </w:trPr>
        <w:tc>
          <w:tcPr>
            <w:tcW w:w="93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第二十条第（八）项</w:t>
            </w:r>
          </w:p>
        </w:tc>
      </w:tr>
      <w:tr w:rsidR="00000000">
        <w:trPr>
          <w:trHeight w:val="477"/>
          <w:jc w:val="center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本年收费金额（单位：万元）</w:t>
            </w:r>
          </w:p>
        </w:tc>
      </w:tr>
      <w:tr w:rsidR="00000000">
        <w:trPr>
          <w:trHeight w:val="477"/>
          <w:jc w:val="center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119.82</w:t>
            </w:r>
          </w:p>
        </w:tc>
      </w:tr>
    </w:tbl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atLeast"/>
        <w:ind w:firstLineChars="200" w:firstLine="640"/>
        <w:jc w:val="both"/>
        <w:rPr>
          <w:rFonts w:cs="Calibri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140" w:type="dxa"/>
        <w:jc w:val="center"/>
        <w:tblInd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6"/>
        <w:gridCol w:w="846"/>
        <w:gridCol w:w="2369"/>
        <w:gridCol w:w="726"/>
        <w:gridCol w:w="671"/>
        <w:gridCol w:w="764"/>
        <w:gridCol w:w="884"/>
        <w:gridCol w:w="912"/>
        <w:gridCol w:w="646"/>
        <w:gridCol w:w="686"/>
      </w:tblGrid>
      <w:tr w:rsidR="00000000">
        <w:trPr>
          <w:trHeight w:val="525"/>
          <w:jc w:val="center"/>
        </w:trPr>
        <w:tc>
          <w:tcPr>
            <w:tcW w:w="3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申请人情况</w:t>
            </w:r>
          </w:p>
        </w:tc>
      </w:tr>
      <w:tr w:rsidR="00000000">
        <w:trPr>
          <w:trHeight w:val="525"/>
          <w:jc w:val="center"/>
        </w:trPr>
        <w:tc>
          <w:tcPr>
            <w:tcW w:w="3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总计</w:t>
            </w:r>
          </w:p>
        </w:tc>
      </w:tr>
      <w:tr w:rsidR="00000000">
        <w:trPr>
          <w:trHeight w:val="609"/>
          <w:jc w:val="center"/>
        </w:trPr>
        <w:tc>
          <w:tcPr>
            <w:tcW w:w="3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3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3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 </w:t>
            </w:r>
          </w:p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属于国家秘密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其他法律行政法规禁止公开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危及“三安全一稳定”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4.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保护第三方合法权益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5.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属于三类内部事务信息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6.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属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于四类过程性信息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7.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属于行政执法案卷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8.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属于行政查询事项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lastRenderedPageBreak/>
              <w:t>三、本年度办理结果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本机关不掌握相关政府信息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没有现成信息需要另行制作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补正后申请内容仍不明确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信访举报投诉类申请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重复申请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要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求提供公开出版物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4.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无正当理由大量反复申请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5.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要求行政机关确认或重新出具已获取信息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95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980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25"/>
          <w:jc w:val="center"/>
        </w:trPr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  <w:tr w:rsidR="00000000">
        <w:trPr>
          <w:trHeight w:val="535"/>
          <w:jc w:val="center"/>
        </w:trPr>
        <w:tc>
          <w:tcPr>
            <w:tcW w:w="3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四、结转下年</w:t>
            </w: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度继续办理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</w:tbl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atLeast"/>
        <w:ind w:firstLine="640"/>
        <w:jc w:val="both"/>
        <w:rPr>
          <w:rFonts w:cs="Calibri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071" w:type="dxa"/>
        <w:jc w:val="center"/>
        <w:tblInd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000000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000000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000000">
        <w:trPr>
          <w:trHeight w:val="1427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40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总计</w:t>
            </w:r>
          </w:p>
        </w:tc>
      </w:tr>
      <w:tr w:rsidR="00000000">
        <w:trPr>
          <w:trHeight w:val="520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C3983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</w:rPr>
              <w:t>0</w:t>
            </w:r>
          </w:p>
        </w:tc>
      </w:tr>
    </w:tbl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cs="Calibri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lastRenderedPageBreak/>
        <w:t>五、存在的主要问题及改进情况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sz w:val="32"/>
          <w:szCs w:val="32"/>
          <w:shd w:val="clear" w:color="auto" w:fill="FFFFFF"/>
        </w:rPr>
        <w:t>（一）存在的主要问题。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主动公开政府信息内容与相关要求还有一定差距，公开范围不够大，公开形式较为单一，公开时效仍需提升等。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="640"/>
        <w:jc w:val="both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/>
          <w:color w:val="000000"/>
          <w:sz w:val="32"/>
          <w:szCs w:val="32"/>
          <w:shd w:val="clear" w:color="auto" w:fill="FFFFFF"/>
        </w:rPr>
        <w:t>（二）下一步</w:t>
      </w:r>
      <w:r>
        <w:rPr>
          <w:rFonts w:ascii="楷体" w:eastAsia="楷体" w:hAnsi="楷体" w:cs="楷体" w:hint="eastAsia"/>
          <w:b/>
          <w:color w:val="000000"/>
          <w:sz w:val="32"/>
          <w:szCs w:val="32"/>
          <w:shd w:val="clear" w:color="auto" w:fill="FFFFFF"/>
        </w:rPr>
        <w:t>改进情况。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一是加强人员培训。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加强对政府信息公开工作的知识和学习，提高政府信息公开工作质量。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二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是建立健全机制。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进一步完善政府信息公开制度，确保信息公开及时、规范、持续、长效。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="640"/>
        <w:jc w:val="both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六、其他需要报告的事项</w:t>
      </w:r>
    </w:p>
    <w:p w:rsidR="00000000" w:rsidRDefault="009C3983">
      <w:pPr>
        <w:pStyle w:val="a5"/>
        <w:widowControl/>
        <w:shd w:val="clear" w:color="auto" w:fill="FFFFFF"/>
        <w:spacing w:before="0" w:beforeAutospacing="0" w:after="0" w:afterAutospacing="0" w:line="576" w:lineRule="exact"/>
        <w:ind w:firstLine="640"/>
        <w:jc w:val="both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工布江达县委组织部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年度政府信息公开工作无其他需要报告的事项。</w:t>
      </w:r>
    </w:p>
    <w:p w:rsidR="00000000" w:rsidRDefault="009C3983"/>
    <w:p w:rsidR="00000000" w:rsidRDefault="009C3983"/>
    <w:p w:rsidR="00000000" w:rsidRDefault="009C3983">
      <w:pPr>
        <w:wordWrap w:val="0"/>
        <w:jc w:val="right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中共工布江达县委组织部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</w:t>
      </w:r>
    </w:p>
    <w:p w:rsidR="009C3983" w:rsidRDefault="009C3983">
      <w:pPr>
        <w:wordWrap w:val="0"/>
        <w:jc w:val="right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2025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</w:t>
      </w:r>
    </w:p>
    <w:sectPr w:rsidR="009C3983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983" w:rsidRDefault="009C3983">
      <w:r>
        <w:separator/>
      </w:r>
    </w:p>
  </w:endnote>
  <w:endnote w:type="continuationSeparator" w:id="0">
    <w:p w:rsidR="009C3983" w:rsidRDefault="009C3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C398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9C3983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51800">
                  <w:rPr>
                    <w:rFonts w:ascii="宋体" w:hAnsi="宋体" w:cs="宋体"/>
                    <w:noProof/>
                    <w:sz w:val="28"/>
                    <w:szCs w:val="28"/>
                  </w:rPr>
                  <w:t>- 6 -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983" w:rsidRDefault="009C3983">
      <w:r>
        <w:separator/>
      </w:r>
    </w:p>
  </w:footnote>
  <w:footnote w:type="continuationSeparator" w:id="0">
    <w:p w:rsidR="009C3983" w:rsidRDefault="009C3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800"/>
    <w:rsid w:val="009C3983"/>
    <w:rsid w:val="00D51800"/>
    <w:rsid w:val="0FCC3A4B"/>
    <w:rsid w:val="0FEF1434"/>
    <w:rsid w:val="27F9FBC5"/>
    <w:rsid w:val="3EAB0813"/>
    <w:rsid w:val="3F7B4C09"/>
    <w:rsid w:val="74F63937"/>
    <w:rsid w:val="AFF68959"/>
    <w:rsid w:val="FFE7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2025-12-29T11:50:00Z</cp:lastPrinted>
  <dcterms:created xsi:type="dcterms:W3CDTF">2026-02-11T03:08:00Z</dcterms:created>
  <dcterms:modified xsi:type="dcterms:W3CDTF">2026-02-11T03:08:00Z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