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6255">
      <w:pPr>
        <w:spacing w:line="293" w:lineRule="auto"/>
        <w:rPr>
          <w:rFonts w:ascii="Arial"/>
          <w:sz w:val="21"/>
        </w:rPr>
      </w:pPr>
    </w:p>
    <w:p w14:paraId="277EC00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7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林芝市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工布江达县卫生健康委员会</w:t>
      </w:r>
    </w:p>
    <w:p w14:paraId="692E840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7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工作年度报告</w:t>
      </w:r>
    </w:p>
    <w:bookmarkEnd w:id="0"/>
    <w:p w14:paraId="4DD6F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sz w:val="21"/>
        </w:rPr>
      </w:pPr>
    </w:p>
    <w:p w14:paraId="639A29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sz w:val="21"/>
        </w:rPr>
      </w:pPr>
    </w:p>
    <w:p w14:paraId="6360B3B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76" w:lineRule="exact"/>
        <w:ind w:left="0" w:right="0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根据《中华人民共和国政府信息公开条例》(国务院令第711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号，以下简称《条例》)以及《国务院办公厅政府信息与政务公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开办公室关于印发&lt;中华人民共和国政府信息公开工作年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度报告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格式&gt;的通知》(国办公开办函〔2021〕30号)要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求，现公布林芝市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工布江达县卫生健康委员会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年政府信息公开工作年度报告。</w:t>
      </w:r>
    </w:p>
    <w:p w14:paraId="6221516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76" w:lineRule="exact"/>
        <w:ind w:left="0" w:right="0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本报告包括总体情况、主动公开政府信息情况、收到和处理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政府信息公开申请情况、政府信息公开行政复议和行政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诉讼情况、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存在的主要问题及改进情况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其他需要报告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的事项等六个部分。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除特别说明外，所列数据统计时限为202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年1月1日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至202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12月31日。公众如需进一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步咨询了解相关信息，请与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索朗拉姆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联系(地址：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工布江达县川藏北路9号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邮编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850300；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0894-5412884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)。</w:t>
      </w:r>
    </w:p>
    <w:p w14:paraId="2A1402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 w:val="0"/>
          <w:spacing w:val="-8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、总体情况</w:t>
      </w:r>
    </w:p>
    <w:p w14:paraId="3F222A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0"/>
        <w:jc w:val="both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县卫健委高度重视信息公开工作，严格按照《中华人民共和国政府信息公开条例》(国务院令第711号，以下简称《条例》)以及《国务院办公厅政府信息与政务公开办公室关于印发&lt;中华人民共和国政府信息公开工作年度报告格式&gt;的通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(国办公开办函[2021]30号)以及自治区、市、县相关工作部署，坚持以公开透明为基本原则，以保障人民群众知情权、参与权和监督权为目标，按照公开、公正、便民、勤政、廉政的要求，通过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工布江达县政府网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业务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条</w:t>
      </w:r>
    </w:p>
    <w:p w14:paraId="7AC24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04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二、主动公开政府信息情况</w:t>
      </w:r>
    </w:p>
    <w:tbl>
      <w:tblPr>
        <w:tblStyle w:val="12"/>
        <w:tblpPr w:leftFromText="180" w:rightFromText="180" w:vertAnchor="text" w:horzAnchor="page" w:tblpX="1477" w:tblpY="19"/>
        <w:tblOverlap w:val="never"/>
        <w:tblW w:w="9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  <w:gridCol w:w="2237"/>
        <w:gridCol w:w="1898"/>
        <w:gridCol w:w="1973"/>
      </w:tblGrid>
      <w:tr w14:paraId="17415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39" w:type="dxa"/>
            <w:gridSpan w:val="4"/>
            <w:shd w:val="clear" w:color="auto" w:fill="C7DAF1" w:themeFill="text2" w:themeFillTint="32"/>
            <w:vAlign w:val="top"/>
          </w:tcPr>
          <w:p w14:paraId="59DD141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第二十条第(一)项</w:t>
            </w:r>
          </w:p>
        </w:tc>
      </w:tr>
      <w:tr w14:paraId="12891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231" w:type="dxa"/>
            <w:vAlign w:val="top"/>
          </w:tcPr>
          <w:p w14:paraId="79A7C6B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C1388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237" w:type="dxa"/>
            <w:vAlign w:val="top"/>
          </w:tcPr>
          <w:p w14:paraId="2DF3585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848BA7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本年制发件数</w:t>
            </w:r>
          </w:p>
        </w:tc>
        <w:tc>
          <w:tcPr>
            <w:tcW w:w="1898" w:type="dxa"/>
            <w:vAlign w:val="top"/>
          </w:tcPr>
          <w:p w14:paraId="6688FACD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01D356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本年废止件数</w:t>
            </w:r>
          </w:p>
        </w:tc>
        <w:tc>
          <w:tcPr>
            <w:tcW w:w="1973" w:type="dxa"/>
            <w:vAlign w:val="top"/>
          </w:tcPr>
          <w:p w14:paraId="158B73F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77422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现行有效件数</w:t>
            </w:r>
          </w:p>
        </w:tc>
      </w:tr>
      <w:tr w14:paraId="7EC37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231" w:type="dxa"/>
            <w:vAlign w:val="top"/>
          </w:tcPr>
          <w:p w14:paraId="4064FCB0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2237" w:type="dxa"/>
            <w:vAlign w:val="top"/>
          </w:tcPr>
          <w:p w14:paraId="51D90AC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8" w:type="dxa"/>
            <w:vAlign w:val="top"/>
          </w:tcPr>
          <w:p w14:paraId="73C72CD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73" w:type="dxa"/>
            <w:vAlign w:val="top"/>
          </w:tcPr>
          <w:p w14:paraId="27B9F50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2E7C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31" w:type="dxa"/>
            <w:vAlign w:val="top"/>
          </w:tcPr>
          <w:p w14:paraId="43CC1C3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行政规范性文件</w:t>
            </w:r>
          </w:p>
        </w:tc>
        <w:tc>
          <w:tcPr>
            <w:tcW w:w="2237" w:type="dxa"/>
            <w:vAlign w:val="top"/>
          </w:tcPr>
          <w:p w14:paraId="7D3854F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8" w:type="dxa"/>
            <w:vAlign w:val="top"/>
          </w:tcPr>
          <w:p w14:paraId="0EC5F1B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73" w:type="dxa"/>
            <w:vAlign w:val="top"/>
          </w:tcPr>
          <w:p w14:paraId="6C3752B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73DF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339" w:type="dxa"/>
            <w:gridSpan w:val="4"/>
            <w:vAlign w:val="top"/>
          </w:tcPr>
          <w:p w14:paraId="71207FC3">
            <w:pPr>
              <w:shd w:val="clear" w:fill="C7DAF1" w:themeFill="text2" w:themeFillTint="32"/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第二十条第(五)项</w:t>
            </w:r>
          </w:p>
        </w:tc>
      </w:tr>
      <w:tr w14:paraId="1B9A3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231" w:type="dxa"/>
            <w:vAlign w:val="top"/>
          </w:tcPr>
          <w:p w14:paraId="0EED470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6108" w:type="dxa"/>
            <w:gridSpan w:val="3"/>
            <w:vAlign w:val="top"/>
          </w:tcPr>
          <w:p w14:paraId="57D9B27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 w14:paraId="0B36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231" w:type="dxa"/>
            <w:vAlign w:val="top"/>
          </w:tcPr>
          <w:p w14:paraId="1F6DF1AC">
            <w:pPr>
              <w:spacing w:line="302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6108" w:type="dxa"/>
            <w:gridSpan w:val="3"/>
            <w:vAlign w:val="top"/>
          </w:tcPr>
          <w:p w14:paraId="74DD2C92">
            <w:pPr>
              <w:spacing w:line="302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医疗机构许可证备案4个</w:t>
            </w:r>
          </w:p>
        </w:tc>
      </w:tr>
      <w:tr w14:paraId="3DF98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339" w:type="dxa"/>
            <w:gridSpan w:val="4"/>
            <w:vAlign w:val="top"/>
          </w:tcPr>
          <w:p w14:paraId="5024FBE3">
            <w:pPr>
              <w:shd w:val="clear" w:fill="C7DAF1" w:themeFill="text2" w:themeFillTint="32"/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第二十条第(六)项</w:t>
            </w:r>
          </w:p>
        </w:tc>
      </w:tr>
      <w:tr w14:paraId="26A6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31" w:type="dxa"/>
            <w:vAlign w:val="top"/>
          </w:tcPr>
          <w:p w14:paraId="09DAD280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6108" w:type="dxa"/>
            <w:gridSpan w:val="3"/>
            <w:vAlign w:val="top"/>
          </w:tcPr>
          <w:p w14:paraId="5CB4141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 w14:paraId="23CA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231" w:type="dxa"/>
            <w:vAlign w:val="top"/>
          </w:tcPr>
          <w:p w14:paraId="2E59A13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6108" w:type="dxa"/>
            <w:gridSpan w:val="3"/>
            <w:vAlign w:val="top"/>
          </w:tcPr>
          <w:p w14:paraId="0378606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ADD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231" w:type="dxa"/>
            <w:vAlign w:val="top"/>
          </w:tcPr>
          <w:p w14:paraId="4D3833F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6108" w:type="dxa"/>
            <w:gridSpan w:val="3"/>
            <w:vAlign w:val="top"/>
          </w:tcPr>
          <w:p w14:paraId="4DB0E090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93BD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339" w:type="dxa"/>
            <w:gridSpan w:val="4"/>
            <w:shd w:val="clear" w:color="auto" w:fill="C7DAF1" w:themeFill="text2" w:themeFillTint="32"/>
            <w:vAlign w:val="top"/>
          </w:tcPr>
          <w:p w14:paraId="63FC8B6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第二十条第(八)项</w:t>
            </w:r>
          </w:p>
        </w:tc>
      </w:tr>
      <w:tr w14:paraId="0EBB9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31" w:type="dxa"/>
            <w:vAlign w:val="top"/>
          </w:tcPr>
          <w:p w14:paraId="3593892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6108" w:type="dxa"/>
            <w:gridSpan w:val="3"/>
            <w:vAlign w:val="top"/>
          </w:tcPr>
          <w:p w14:paraId="7E23424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本年收费金额(单位：万元)</w:t>
            </w:r>
          </w:p>
        </w:tc>
      </w:tr>
      <w:tr w14:paraId="0DE94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31" w:type="dxa"/>
            <w:vAlign w:val="top"/>
          </w:tcPr>
          <w:p w14:paraId="6DF4A73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6108" w:type="dxa"/>
            <w:gridSpan w:val="3"/>
            <w:vAlign w:val="top"/>
          </w:tcPr>
          <w:p w14:paraId="345F38C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7E9F254">
      <w:pPr>
        <w:spacing w:line="33" w:lineRule="exact"/>
      </w:pPr>
    </w:p>
    <w:p w14:paraId="1A0337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906" w:firstLineChars="3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三、收到和处理政府信息公开申请情况</w:t>
      </w:r>
    </w:p>
    <w:p w14:paraId="01BCDB40">
      <w:pPr>
        <w:spacing w:line="51" w:lineRule="auto"/>
        <w:jc w:val="center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12"/>
        <w:tblW w:w="9221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710"/>
        <w:gridCol w:w="2775"/>
        <w:gridCol w:w="583"/>
        <w:gridCol w:w="527"/>
        <w:gridCol w:w="779"/>
        <w:gridCol w:w="899"/>
        <w:gridCol w:w="919"/>
        <w:gridCol w:w="649"/>
        <w:gridCol w:w="785"/>
      </w:tblGrid>
      <w:tr w14:paraId="1BCC6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080" w:type="dxa"/>
            <w:gridSpan w:val="3"/>
            <w:vMerge w:val="restart"/>
            <w:tcBorders>
              <w:bottom w:val="nil"/>
            </w:tcBorders>
            <w:vAlign w:val="top"/>
          </w:tcPr>
          <w:p w14:paraId="102547BE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3CC81A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5D6F28B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(本列数据的勾稽关系为：第一项加第 二项之和，等于第三项加第四项之和)</w:t>
            </w:r>
          </w:p>
        </w:tc>
        <w:tc>
          <w:tcPr>
            <w:tcW w:w="5141" w:type="dxa"/>
            <w:gridSpan w:val="7"/>
            <w:vAlign w:val="top"/>
          </w:tcPr>
          <w:p w14:paraId="4CF877C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申请人情况</w:t>
            </w:r>
          </w:p>
        </w:tc>
      </w:tr>
      <w:tr w14:paraId="5AE3F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D7A3AD8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5120F44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6E46B6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</w:t>
            </w:r>
          </w:p>
          <w:p w14:paraId="39E97D3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然</w:t>
            </w:r>
          </w:p>
          <w:p w14:paraId="561084A9">
            <w:pPr>
              <w:spacing w:line="302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3773" w:type="dxa"/>
            <w:gridSpan w:val="5"/>
            <w:vAlign w:val="top"/>
          </w:tcPr>
          <w:p w14:paraId="0C25586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法人或其他组织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18EF25B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2F0F8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总计</w:t>
            </w:r>
          </w:p>
        </w:tc>
      </w:tr>
      <w:tr w14:paraId="47C22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080" w:type="dxa"/>
            <w:gridSpan w:val="3"/>
            <w:vMerge w:val="continue"/>
            <w:tcBorders>
              <w:top w:val="nil"/>
            </w:tcBorders>
            <w:vAlign w:val="top"/>
          </w:tcPr>
          <w:p w14:paraId="1AD618E9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01161E8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dxa"/>
            <w:vAlign w:val="top"/>
          </w:tcPr>
          <w:p w14:paraId="709DD65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商业 企业</w:t>
            </w:r>
          </w:p>
        </w:tc>
        <w:tc>
          <w:tcPr>
            <w:tcW w:w="779" w:type="dxa"/>
            <w:vAlign w:val="top"/>
          </w:tcPr>
          <w:p w14:paraId="603BCF6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 机构</w:t>
            </w:r>
          </w:p>
        </w:tc>
        <w:tc>
          <w:tcPr>
            <w:tcW w:w="899" w:type="dxa"/>
            <w:vAlign w:val="top"/>
          </w:tcPr>
          <w:p w14:paraId="193123E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社会公 益组织</w:t>
            </w:r>
          </w:p>
        </w:tc>
        <w:tc>
          <w:tcPr>
            <w:tcW w:w="919" w:type="dxa"/>
            <w:vAlign w:val="top"/>
          </w:tcPr>
          <w:p w14:paraId="4229C8FA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法律服 务机构</w:t>
            </w:r>
          </w:p>
        </w:tc>
        <w:tc>
          <w:tcPr>
            <w:tcW w:w="649" w:type="dxa"/>
            <w:vAlign w:val="top"/>
          </w:tcPr>
          <w:p w14:paraId="7E97434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18F4BCF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495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80" w:type="dxa"/>
            <w:gridSpan w:val="3"/>
            <w:vAlign w:val="top"/>
          </w:tcPr>
          <w:p w14:paraId="2E2474F7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一、本年新收政府信息公开申请数量</w:t>
            </w:r>
          </w:p>
        </w:tc>
        <w:tc>
          <w:tcPr>
            <w:tcW w:w="583" w:type="dxa"/>
            <w:vAlign w:val="top"/>
          </w:tcPr>
          <w:p w14:paraId="0E24977D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4A448AA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18FD393A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54AAE10A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44B6EE8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1DE03E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741AC5B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1F0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080" w:type="dxa"/>
            <w:gridSpan w:val="3"/>
            <w:vAlign w:val="top"/>
          </w:tcPr>
          <w:p w14:paraId="14AFC59E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二、上年结转政府信息公开申请数量</w:t>
            </w:r>
          </w:p>
        </w:tc>
        <w:tc>
          <w:tcPr>
            <w:tcW w:w="583" w:type="dxa"/>
            <w:vAlign w:val="top"/>
          </w:tcPr>
          <w:p w14:paraId="45462C5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156F964D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3B1F145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2A5DD4E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5CDFAD9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709BD5D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BA25EE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8F37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95" w:type="dxa"/>
            <w:vAlign w:val="top"/>
          </w:tcPr>
          <w:p w14:paraId="7EC47009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gridSpan w:val="2"/>
            <w:vAlign w:val="top"/>
          </w:tcPr>
          <w:p w14:paraId="25301DE6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(一)予以公开</w:t>
            </w:r>
          </w:p>
        </w:tc>
        <w:tc>
          <w:tcPr>
            <w:tcW w:w="583" w:type="dxa"/>
            <w:vAlign w:val="top"/>
          </w:tcPr>
          <w:p w14:paraId="040002A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41AA1BE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08A313A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1623BFE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5370657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C45CDD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20B34C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2575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0EB58066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1D54E7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C9F36EF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22891F2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D00D8BE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4BC82C3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223093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D5162A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3ACE2F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AAAF7A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FCE278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78C025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AD28192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C5249D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5A333B8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6389B9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AD81738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67E55EA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 、 本   年   度   办   理   结   果</w:t>
            </w:r>
          </w:p>
        </w:tc>
        <w:tc>
          <w:tcPr>
            <w:tcW w:w="3485" w:type="dxa"/>
            <w:gridSpan w:val="2"/>
            <w:vAlign w:val="top"/>
          </w:tcPr>
          <w:p w14:paraId="3CFCC666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(二)部分公开(区分处理的，</w:t>
            </w:r>
          </w:p>
          <w:p w14:paraId="50DA5B95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只计这一情形，不计其他情形)</w:t>
            </w:r>
          </w:p>
        </w:tc>
        <w:tc>
          <w:tcPr>
            <w:tcW w:w="583" w:type="dxa"/>
            <w:vAlign w:val="top"/>
          </w:tcPr>
          <w:p w14:paraId="41B9E59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6D45CF3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522246B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61D05B0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20867FB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2BDB20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2BA0FF7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DE31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CE16B6E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2721D07A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 三 ) 不予</w:t>
            </w:r>
          </w:p>
          <w:p w14:paraId="01D8C954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2775" w:type="dxa"/>
            <w:vAlign w:val="top"/>
          </w:tcPr>
          <w:p w14:paraId="7A269209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1.属于国家秘密</w:t>
            </w:r>
          </w:p>
        </w:tc>
        <w:tc>
          <w:tcPr>
            <w:tcW w:w="583" w:type="dxa"/>
            <w:vAlign w:val="top"/>
          </w:tcPr>
          <w:p w14:paraId="0D903DD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680C723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48195AF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6711A3A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2819F2F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47425E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0597FB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1033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B1B5CDA">
            <w:pPr>
              <w:jc w:val="lef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0</w:t>
            </w: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70E36AF7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529E4B61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2.其他法律行政法规禁 止公开</w:t>
            </w:r>
          </w:p>
        </w:tc>
        <w:tc>
          <w:tcPr>
            <w:tcW w:w="583" w:type="dxa"/>
            <w:vAlign w:val="top"/>
          </w:tcPr>
          <w:p w14:paraId="13B14AE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7A32436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1DE6C05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6C7817C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5391FD1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A83A2B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50B28A8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282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AECE2B1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669F2A92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41D3CDA1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3.危及“三安全一稳定”</w:t>
            </w:r>
          </w:p>
        </w:tc>
        <w:tc>
          <w:tcPr>
            <w:tcW w:w="583" w:type="dxa"/>
            <w:vAlign w:val="top"/>
          </w:tcPr>
          <w:p w14:paraId="3AB49D8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2890641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5FA72DD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169F22F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7F5A017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BD70A9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3A9BF76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2027A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F65025A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1E3D5CFF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45ADA9D5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4.保护第三方合法权益</w:t>
            </w:r>
          </w:p>
        </w:tc>
        <w:tc>
          <w:tcPr>
            <w:tcW w:w="583" w:type="dxa"/>
            <w:vAlign w:val="top"/>
          </w:tcPr>
          <w:p w14:paraId="2EA6CAB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79CB9D3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1D4CC80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1265AC9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760D2990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9A0200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A7FDE0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64FD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78F59FB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5B77E467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4642A16C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5.属于三类内部事务信 息</w:t>
            </w:r>
          </w:p>
        </w:tc>
        <w:tc>
          <w:tcPr>
            <w:tcW w:w="583" w:type="dxa"/>
            <w:vAlign w:val="top"/>
          </w:tcPr>
          <w:p w14:paraId="5F1143EA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6C5373B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186F6FAA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2EEC44B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7767501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DDA35B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4657065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0B13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8CBBC0F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0856FD81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5300AD66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6.属于四类过程性信息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3C40D7D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62638EF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2FB375D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1ED66F9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7FC197B0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0A415E1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65D9D96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91C4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06893D8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26BDE4E0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0C85CAB3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7.属于行政执法案卷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560A36D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1BC409A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70BE485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028C7A8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664997D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73FC9EB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732FBDA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CF14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E47E1E5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43AF6F64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5259ADF6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8.属于行政查询事项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77293D8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0DFD8C7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0BF2136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2F1792B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2A4A26E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5BFB085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13351A8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D25E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01B9B16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16F990FF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E4D70F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 四 ) 无法</w:t>
            </w:r>
          </w:p>
          <w:p w14:paraId="3575F441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2775" w:type="dxa"/>
            <w:vAlign w:val="top"/>
          </w:tcPr>
          <w:p w14:paraId="2A51C3A3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1.本机关不掌握相关政 府信息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7E2ED12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2571548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3CD8A65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00EB68BD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0ED0B0A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51BE6320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29054050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838F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57D542C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61570D05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39347220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2.没有现成信息需要另 行制作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585E9B0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7D1769B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0347564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4BBA86E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2D494F4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292E7D0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0674FAA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C37B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DCF7C4C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1338A56B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09DBEDE0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3.补正后申请内容仍不 明确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6266291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4FAA3EE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0525075D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4129D9E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7B9AEA9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00A2B55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47CBBC6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26A7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B8EC449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4257889A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1B80C1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3FAEE7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B25C99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 五 ) 不予</w:t>
            </w:r>
          </w:p>
          <w:p w14:paraId="4AD6B337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处理</w:t>
            </w:r>
          </w:p>
        </w:tc>
        <w:tc>
          <w:tcPr>
            <w:tcW w:w="2775" w:type="dxa"/>
            <w:vAlign w:val="top"/>
          </w:tcPr>
          <w:p w14:paraId="41D0EE7C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1.信访举报投诉类申请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4818484D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4C489D0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5635C04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11BEFEB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536F7D4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66AAAEAD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7F59AC5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F8DC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463780D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3D6FD4E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2EA27C9A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2.重复申请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63CDAAF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5421FF0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7A10C73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6A642A9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58D4AEF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2565E64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3B75F51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0FDC4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967A864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7EA3478F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09B497F0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3.要求提供公开出版物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5EE7F45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6D18886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2E4F2E4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7712EBE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4D0FA00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04D63D2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16B2F74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1001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02C385B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597A5E98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54813AEC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4.无正当理由大量反复 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33FA56B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7404547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16CE5DB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5D7E142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13498C50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6D205F0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43E0195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5572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F60BE69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6BEF56FB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1EFAFF15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5.要求行政机关确认或 重新出具已获取信息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735322A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387E64D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403BB9F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742A53D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034670D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044318B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0FEEAE5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A3A4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684B178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3CFB49B2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54AEB4E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4823DD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A1801F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 六 ) 其他</w:t>
            </w:r>
          </w:p>
          <w:p w14:paraId="56C6AE32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处理</w:t>
            </w:r>
          </w:p>
        </w:tc>
        <w:tc>
          <w:tcPr>
            <w:tcW w:w="2775" w:type="dxa"/>
            <w:vAlign w:val="top"/>
          </w:tcPr>
          <w:p w14:paraId="52DAE34A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1.申请人无正当理由逾 期不补正、行政机关不 再处理其政府信息公开 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670AAD44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129C848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0268D29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1BAA25B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6857AAF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4AD709C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4A666FBC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C7C7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2958BCA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58CD988E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1F321C84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2.申请人逾期未按收费 通知要求缴纳费用、行 政机关不再处理其政府 信息公开申请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36CEF19D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45C21D7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7AF0546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71FFA56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3AFAFB7A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3BB1BB8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67F72EB6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58FB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B2BF46B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0F264D53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660D4649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3DD99AD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7B85A623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1EE9581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0B31DBD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362E63E5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27902D8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5B962F9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0673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745A839E">
            <w:pPr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85" w:type="dxa"/>
            <w:gridSpan w:val="2"/>
            <w:vAlign w:val="top"/>
          </w:tcPr>
          <w:p w14:paraId="59BBAF31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(七)总计</w:t>
            </w:r>
          </w:p>
        </w:tc>
        <w:tc>
          <w:tcPr>
            <w:tcW w:w="583" w:type="dxa"/>
            <w:vAlign w:val="top"/>
          </w:tcPr>
          <w:p w14:paraId="7CEADBD1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66FDEB77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7E558DA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1A27455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064CCF4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7C5A111E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69B4EC3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06425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080" w:type="dxa"/>
            <w:gridSpan w:val="3"/>
            <w:vAlign w:val="top"/>
          </w:tcPr>
          <w:p w14:paraId="2036889D">
            <w:pPr>
              <w:spacing w:line="30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四、结转下年度继续办理</w:t>
            </w:r>
          </w:p>
        </w:tc>
        <w:tc>
          <w:tcPr>
            <w:tcW w:w="583" w:type="dxa"/>
            <w:vAlign w:val="top"/>
          </w:tcPr>
          <w:p w14:paraId="2412C3F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75703E32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74AB595A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2347A15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64A5C22F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4C77DBB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CF1FD59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507FE9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040" w:h="16900"/>
          <w:pgMar w:top="1436" w:right="1454" w:bottom="863" w:left="1474" w:header="0" w:footer="575" w:gutter="0"/>
          <w:pgNumType w:fmt="numberInDash"/>
          <w:cols w:space="720" w:num="1"/>
        </w:sectPr>
      </w:pPr>
    </w:p>
    <w:p w14:paraId="5EC343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四、政府信息公开行政复议、行政诉讼情况</w:t>
      </w:r>
    </w:p>
    <w:tbl>
      <w:tblPr>
        <w:tblStyle w:val="12"/>
        <w:tblW w:w="9195" w:type="dxa"/>
        <w:tblInd w:w="-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600"/>
        <w:gridCol w:w="599"/>
        <w:gridCol w:w="599"/>
        <w:gridCol w:w="659"/>
        <w:gridCol w:w="550"/>
        <w:gridCol w:w="599"/>
        <w:gridCol w:w="609"/>
        <w:gridCol w:w="600"/>
        <w:gridCol w:w="599"/>
        <w:gridCol w:w="609"/>
        <w:gridCol w:w="609"/>
        <w:gridCol w:w="609"/>
        <w:gridCol w:w="600"/>
        <w:gridCol w:w="684"/>
      </w:tblGrid>
      <w:tr w14:paraId="22012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127" w:type="dxa"/>
            <w:gridSpan w:val="5"/>
            <w:vAlign w:val="top"/>
          </w:tcPr>
          <w:p w14:paraId="72D845DA">
            <w:pPr>
              <w:pStyle w:val="13"/>
              <w:spacing w:before="153" w:line="220" w:lineRule="auto"/>
              <w:ind w:left="11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行政复议</w:t>
            </w:r>
          </w:p>
        </w:tc>
        <w:tc>
          <w:tcPr>
            <w:tcW w:w="6068" w:type="dxa"/>
            <w:gridSpan w:val="10"/>
            <w:vAlign w:val="top"/>
          </w:tcPr>
          <w:p w14:paraId="46A18ED6">
            <w:pPr>
              <w:pStyle w:val="13"/>
              <w:spacing w:before="153" w:line="220" w:lineRule="auto"/>
              <w:ind w:left="26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行政诉讼</w:t>
            </w:r>
          </w:p>
        </w:tc>
      </w:tr>
      <w:tr w14:paraId="42B1F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0" w:type="dxa"/>
            <w:vMerge w:val="restart"/>
            <w:tcBorders>
              <w:bottom w:val="nil"/>
            </w:tcBorders>
            <w:textDirection w:val="tbRlV"/>
            <w:vAlign w:val="top"/>
          </w:tcPr>
          <w:p w14:paraId="6227224D">
            <w:pPr>
              <w:pStyle w:val="13"/>
              <w:spacing w:before="226" w:line="199" w:lineRule="auto"/>
              <w:ind w:left="28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维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持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 w14:paraId="5237C723">
            <w:pPr>
              <w:pStyle w:val="13"/>
              <w:spacing w:before="210" w:line="194" w:lineRule="auto"/>
              <w:ind w:left="28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9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19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纠</w:t>
            </w:r>
            <w:r>
              <w:rPr>
                <w:rFonts w:hint="eastAsia" w:ascii="仿宋_GB2312" w:hAnsi="仿宋_GB2312" w:eastAsia="仿宋_GB2312" w:cs="仿宋_GB2312"/>
                <w:spacing w:val="19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正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23BC447F">
            <w:pPr>
              <w:pStyle w:val="13"/>
              <w:spacing w:before="204" w:line="202" w:lineRule="auto"/>
              <w:ind w:left="28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他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4E14C558">
            <w:pPr>
              <w:pStyle w:val="13"/>
              <w:spacing w:before="217" w:line="196" w:lineRule="auto"/>
              <w:ind w:left="28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3B21CCD">
            <w:pPr>
              <w:spacing w:line="28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E15263">
            <w:pPr>
              <w:spacing w:line="28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8E9F68D">
            <w:pPr>
              <w:spacing w:line="28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724FBF">
            <w:pPr>
              <w:pStyle w:val="13"/>
              <w:spacing w:before="62" w:line="221" w:lineRule="auto"/>
              <w:ind w:left="1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2957" w:type="dxa"/>
            <w:gridSpan w:val="5"/>
            <w:vAlign w:val="top"/>
          </w:tcPr>
          <w:p w14:paraId="236922B0">
            <w:pPr>
              <w:pStyle w:val="13"/>
              <w:spacing w:before="169" w:line="213" w:lineRule="auto"/>
              <w:ind w:left="70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未经复议直接起诉</w:t>
            </w:r>
          </w:p>
        </w:tc>
        <w:tc>
          <w:tcPr>
            <w:tcW w:w="3111" w:type="dxa"/>
            <w:gridSpan w:val="5"/>
            <w:vAlign w:val="top"/>
          </w:tcPr>
          <w:p w14:paraId="0AC9A89B">
            <w:pPr>
              <w:pStyle w:val="13"/>
              <w:spacing w:before="169" w:line="213" w:lineRule="auto"/>
              <w:ind w:left="104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复议后起诉</w:t>
            </w:r>
          </w:p>
        </w:tc>
      </w:tr>
      <w:tr w14:paraId="6843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70" w:type="dxa"/>
            <w:vMerge w:val="continue"/>
            <w:tcBorders>
              <w:top w:val="nil"/>
            </w:tcBorders>
            <w:textDirection w:val="tbRlV"/>
            <w:vAlign w:val="top"/>
          </w:tcPr>
          <w:p w14:paraId="51DDC5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 w14:paraId="0A20AED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0BFBABF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23108A5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B746F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0" w:type="dxa"/>
            <w:textDirection w:val="tbRlV"/>
            <w:vAlign w:val="top"/>
          </w:tcPr>
          <w:p w14:paraId="4AA5CFFC">
            <w:pPr>
              <w:pStyle w:val="13"/>
              <w:spacing w:before="183" w:line="199" w:lineRule="auto"/>
              <w:ind w:left="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维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持</w:t>
            </w:r>
          </w:p>
        </w:tc>
        <w:tc>
          <w:tcPr>
            <w:tcW w:w="599" w:type="dxa"/>
            <w:textDirection w:val="tbRlV"/>
            <w:vAlign w:val="top"/>
          </w:tcPr>
          <w:p w14:paraId="6F1A740A">
            <w:pPr>
              <w:pStyle w:val="13"/>
              <w:spacing w:before="206" w:line="194" w:lineRule="auto"/>
              <w:ind w:left="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2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纠</w:t>
            </w:r>
            <w:r>
              <w:rPr>
                <w:rFonts w:hint="eastAsia" w:ascii="仿宋_GB2312" w:hAnsi="仿宋_GB2312" w:eastAsia="仿宋_GB2312" w:cs="仿宋_GB2312"/>
                <w:spacing w:val="23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正</w:t>
            </w:r>
          </w:p>
        </w:tc>
        <w:tc>
          <w:tcPr>
            <w:tcW w:w="609" w:type="dxa"/>
            <w:textDirection w:val="tbRlV"/>
            <w:vAlign w:val="top"/>
          </w:tcPr>
          <w:p w14:paraId="28DF512A">
            <w:pPr>
              <w:pStyle w:val="13"/>
              <w:spacing w:before="200" w:line="202" w:lineRule="auto"/>
              <w:ind w:left="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他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1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</w:p>
        </w:tc>
        <w:tc>
          <w:tcPr>
            <w:tcW w:w="600" w:type="dxa"/>
            <w:textDirection w:val="tbRlV"/>
            <w:vAlign w:val="top"/>
          </w:tcPr>
          <w:p w14:paraId="35AAD89B">
            <w:pPr>
              <w:pStyle w:val="13"/>
              <w:spacing w:before="224" w:line="196" w:lineRule="auto"/>
              <w:ind w:left="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21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</w:p>
        </w:tc>
        <w:tc>
          <w:tcPr>
            <w:tcW w:w="599" w:type="dxa"/>
            <w:textDirection w:val="tbRlV"/>
            <w:vAlign w:val="top"/>
          </w:tcPr>
          <w:p w14:paraId="1166944E">
            <w:pPr>
              <w:pStyle w:val="13"/>
              <w:spacing w:before="200" w:line="202" w:lineRule="auto"/>
              <w:ind w:left="47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4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计</w:t>
            </w:r>
          </w:p>
        </w:tc>
        <w:tc>
          <w:tcPr>
            <w:tcW w:w="609" w:type="dxa"/>
            <w:textDirection w:val="tbRlV"/>
            <w:vAlign w:val="top"/>
          </w:tcPr>
          <w:p w14:paraId="2BC411A1">
            <w:pPr>
              <w:pStyle w:val="13"/>
              <w:spacing w:before="189" w:line="199" w:lineRule="auto"/>
              <w:ind w:left="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维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持</w:t>
            </w:r>
          </w:p>
        </w:tc>
        <w:tc>
          <w:tcPr>
            <w:tcW w:w="609" w:type="dxa"/>
            <w:textDirection w:val="tbRlV"/>
            <w:vAlign w:val="top"/>
          </w:tcPr>
          <w:p w14:paraId="20A1A6B8">
            <w:pPr>
              <w:pStyle w:val="13"/>
              <w:spacing w:before="202" w:line="194" w:lineRule="auto"/>
              <w:ind w:left="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2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纠</w:t>
            </w:r>
            <w:r>
              <w:rPr>
                <w:rFonts w:hint="eastAsia" w:ascii="仿宋_GB2312" w:hAnsi="仿宋_GB2312" w:eastAsia="仿宋_GB2312" w:cs="仿宋_GB2312"/>
                <w:spacing w:val="23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正</w:t>
            </w:r>
          </w:p>
        </w:tc>
        <w:tc>
          <w:tcPr>
            <w:tcW w:w="609" w:type="dxa"/>
            <w:textDirection w:val="tbRlV"/>
            <w:vAlign w:val="top"/>
          </w:tcPr>
          <w:p w14:paraId="2BAFFF19">
            <w:pPr>
              <w:pStyle w:val="13"/>
              <w:spacing w:before="226" w:line="202" w:lineRule="auto"/>
              <w:ind w:left="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他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1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</w:p>
        </w:tc>
        <w:tc>
          <w:tcPr>
            <w:tcW w:w="600" w:type="dxa"/>
            <w:textDirection w:val="tbRlV"/>
            <w:vAlign w:val="top"/>
          </w:tcPr>
          <w:p w14:paraId="1539E5EB">
            <w:pPr>
              <w:pStyle w:val="13"/>
              <w:spacing w:before="210" w:line="196" w:lineRule="auto"/>
              <w:ind w:left="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21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</w:p>
        </w:tc>
        <w:tc>
          <w:tcPr>
            <w:tcW w:w="684" w:type="dxa"/>
            <w:textDirection w:val="tbRlV"/>
            <w:vAlign w:val="top"/>
          </w:tcPr>
          <w:p w14:paraId="45021ED6">
            <w:pPr>
              <w:pStyle w:val="13"/>
              <w:spacing w:before="201" w:line="202" w:lineRule="auto"/>
              <w:ind w:left="47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4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计</w:t>
            </w:r>
          </w:p>
        </w:tc>
      </w:tr>
      <w:tr w14:paraId="6CB1F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70" w:type="dxa"/>
            <w:vAlign w:val="top"/>
          </w:tcPr>
          <w:p w14:paraId="1AF798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 w14:paraId="7147FC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99" w:type="dxa"/>
            <w:vAlign w:val="top"/>
          </w:tcPr>
          <w:p w14:paraId="084ED2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99" w:type="dxa"/>
            <w:vAlign w:val="top"/>
          </w:tcPr>
          <w:p w14:paraId="18BB90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119480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50" w:type="dxa"/>
            <w:vAlign w:val="top"/>
          </w:tcPr>
          <w:p w14:paraId="506F49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99" w:type="dxa"/>
            <w:vAlign w:val="top"/>
          </w:tcPr>
          <w:p w14:paraId="53B341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vAlign w:val="top"/>
          </w:tcPr>
          <w:p w14:paraId="3B07168E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 w14:paraId="3EC8C1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99" w:type="dxa"/>
            <w:vAlign w:val="top"/>
          </w:tcPr>
          <w:p w14:paraId="5F6552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vAlign w:val="top"/>
          </w:tcPr>
          <w:p w14:paraId="36201D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vAlign w:val="top"/>
          </w:tcPr>
          <w:p w14:paraId="52E61A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vAlign w:val="top"/>
          </w:tcPr>
          <w:p w14:paraId="789C6E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 w14:paraId="552218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84" w:type="dxa"/>
            <w:vAlign w:val="top"/>
          </w:tcPr>
          <w:p w14:paraId="0B1164E9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</w:tr>
    </w:tbl>
    <w:p w14:paraId="37A2EF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五 、存在的主要问题及改进情况</w:t>
      </w:r>
    </w:p>
    <w:p w14:paraId="5C7BCBC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"/>
        </w:rPr>
        <w:t>（一）存在的问题。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在 2025 年政务信息公开工作中，主要依靠政府官网发布信息，渠道单一。这带来诸多局限。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受众覆盖不全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难以触及各类人群。年轻群体偏好的社交媒体平台缺失，导致其对政务信息了解不足；老年群体或不熟悉网络者，因渠道限制也难获取信息。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传播效果不佳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单一渠道易受流量、关注度影响。无法满足公众广泛获取信息的需求。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互动反馈困难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缺少便捷反馈途径，公众难以对政务信息提出疑问、建议，影响公众参与积极性，也不利于政府根据需求调整政策。</w:t>
      </w:r>
    </w:p>
    <w:p w14:paraId="69E747C0">
      <w:pPr>
        <w:pStyle w:val="8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firstLine="320" w:firstLineChars="1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（二）对策建议。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搭建社交媒体矩阵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在微信、微博、抖音等平台开通官方账号。微信公众号推送政策解读图文，微博实时发布政务要闻，抖音制作有趣短视频，按平台特点定制发布计划，扩大受众面。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与传统媒体合作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和当地电视台、广播电台建立长期合作。电视台报道政务动态，电台设政策解读节目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覆盖老年群体和不常上网人群。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社区与场所覆盖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在学校、医院等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场所设电子显示屏或公告栏，滚动播放政务信息。结合志愿服务发放宣传资料，让信息深入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村、居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04C8CD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right="0" w:firstLine="6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六 、其他需要报告的事项</w:t>
      </w:r>
    </w:p>
    <w:p w14:paraId="7D3354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right="0" w:firstLine="736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2025年，工布江达县卫健委无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收取信息处理费的情况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。</w:t>
      </w:r>
    </w:p>
    <w:p w14:paraId="5BA61B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right="0" w:firstLine="736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</w:p>
    <w:p w14:paraId="5AAE8B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right="0" w:firstLine="736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</w:p>
    <w:p w14:paraId="76E9F6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right="0" w:firstLine="736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</w:p>
    <w:p w14:paraId="0A7D84C9">
      <w:pPr>
        <w:spacing w:after="0" w:line="576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工布江达县卫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F7E15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right="0" w:firstLine="640" w:firstLineChars="200"/>
        <w:textAlignment w:val="baseline"/>
        <w:outlineLvl w:val="0"/>
        <w:rPr>
          <w:rFonts w:hint="default"/>
          <w:lang w:val="en-US" w:eastAsia="zh-CN"/>
        </w:rPr>
        <w:sectPr>
          <w:footerReference r:id="rId6" w:type="default"/>
          <w:pgSz w:w="11880" w:h="16840"/>
          <w:pgMar w:top="2098" w:right="1474" w:bottom="1984" w:left="1587" w:header="0" w:footer="912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</w:t>
      </w:r>
    </w:p>
    <w:p w14:paraId="5687D3F7">
      <w:pPr>
        <w:bidi w:val="0"/>
        <w:rPr>
          <w:rFonts w:hint="default"/>
          <w:lang w:val="en-US" w:eastAsia="zh-CN"/>
        </w:rPr>
      </w:pPr>
    </w:p>
    <w:sectPr>
      <w:footerReference r:id="rId7" w:type="default"/>
      <w:pgSz w:w="11880" w:h="16840"/>
      <w:pgMar w:top="1431" w:right="1559" w:bottom="883" w:left="1449" w:header="0" w:footer="59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F9667">
    <w:pPr>
      <w:spacing w:before="1" w:line="176" w:lineRule="auto"/>
      <w:ind w:left="95"/>
      <w:rPr>
        <w:rFonts w:ascii="宋体" w:hAnsi="宋体" w:eastAsia="宋体" w:cs="宋体"/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8AEC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8AEC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C3CBF">
    <w:pPr>
      <w:spacing w:line="175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2932">
                          <w:pPr>
                            <w:pStyle w:val="4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92932">
                    <w:pPr>
                      <w:pStyle w:val="4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168B1">
    <w:pPr>
      <w:spacing w:before="1" w:line="176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737EB4"/>
    <w:rsid w:val="0AA03A6A"/>
    <w:rsid w:val="0B046065"/>
    <w:rsid w:val="0E0774E1"/>
    <w:rsid w:val="1796247C"/>
    <w:rsid w:val="1D9D7CEC"/>
    <w:rsid w:val="1FB57B5F"/>
    <w:rsid w:val="20A420AE"/>
    <w:rsid w:val="29DF4157"/>
    <w:rsid w:val="49803E24"/>
    <w:rsid w:val="50E54D55"/>
    <w:rsid w:val="631657EC"/>
    <w:rsid w:val="72440855"/>
    <w:rsid w:val="744523D5"/>
    <w:rsid w:val="799C3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spacing w:after="100"/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6"/>
    <w:next w:val="7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1996</Words>
  <Characters>2076</Characters>
  <TotalTime>153</TotalTime>
  <ScaleCrop>false</ScaleCrop>
  <LinksUpToDate>false</LinksUpToDate>
  <CharactersWithSpaces>2245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2025-01-13T12:15:00Z</dcterms:created>
  <dc:creator>Kingsoft-PDF</dc:creator>
  <cp:lastModifiedBy>ལྷ་མོ་</cp:lastModifiedBy>
  <cp:lastPrinted>2025-01-13T10:11:00Z</cp:lastPrinted>
  <dcterms:modified xsi:type="dcterms:W3CDTF">2025-12-30T02:31:24Z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2025-01-13T12:15:32Z</vt:filetime>
  </property>
  <property fmtid="{D5CDD505-2E9C-101B-9397-08002B2CF9AE}" pid="4" name="UsrData">
    <vt:lpwstr>67849360d0534a001fc85c36wl</vt:lpwstr>
  </property>
  <property fmtid="{D5CDD505-2E9C-101B-9397-08002B2CF9AE}" pid="5" name="KSOTemplateDocerSaveRecord">
    <vt:lpwstr>eyJoZGlkIjoiMzEwNTM5NzYwMDRjMzkwZTVkZjY2ODkwMGIxNGU0OTUiLCJ1c2VySWQiOiIzMzIzMzAyNDYifQ==</vt:lpwstr>
  </property>
  <property fmtid="{D5CDD505-2E9C-101B-9397-08002B2CF9AE}" pid="6" name="KSOProductBuildVer">
    <vt:lpwstr>2052-12.1.0.24034</vt:lpwstr>
  </property>
  <property fmtid="{D5CDD505-2E9C-101B-9397-08002B2CF9AE}" pid="7" name="ICV">
    <vt:lpwstr>ED2ED2C2B14243A6A909E926577E620F_13</vt:lpwstr>
  </property>
</Properties>
</file>