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44CF5">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工布江达县工布江达镇2024年政府信息公开</w:t>
      </w:r>
    </w:p>
    <w:p w14:paraId="0CD664B8">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工作年度报告</w:t>
      </w:r>
    </w:p>
    <w:p w14:paraId="14B5E25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p>
    <w:p w14:paraId="5391673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信息公开条例》（国务院令第711号，以下简称《条例》）以及《国务院办公厅政府信息与政务公开办公室关于印发〈中华人民共和国政府信息公开工作年度报告格式〉的通知》（国办公开办函〔2021〕30号）要求，现公布林芝市工布江达县工布江达镇人民政府2024年政府信息公开工作年度报告。</w:t>
      </w:r>
    </w:p>
    <w:p w14:paraId="05FA483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报告包括总体情况、主动公开政府信息情况、收到和处理政府信息公开申请情况、政府信息公开行政复议和行政诉讼情况、存在的主要问题及改进情况、其他需要报告的事项等六个部分。除特别说明外，所列数据统计时限为2024年1月1日至2024年12月31日。报告电子版可在工布江达县人民政府网下载(http://www.gongbujiangda.gov.cn/)。公众如需进一步咨询了解相关信息，请与工布江达县工布江达镇在人民政府联系（地址：工布江达县彩虹路工布江达镇人民政府，邮编：860200，电话：0894-5412176）。</w:t>
      </w:r>
      <w:bookmarkStart w:id="0" w:name="_GoBack"/>
      <w:bookmarkEnd w:id="0"/>
    </w:p>
    <w:p w14:paraId="7047E64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一、总体情况</w:t>
      </w:r>
    </w:p>
    <w:p w14:paraId="6B46C9E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工布江达县工布江达镇人民政府高度重视政务公开工作，全面落实全县政务公开工作会议精神，严格贯彻政务工作公开要求，依法规范公开程序，认真履行政府信息公开工作。</w:t>
      </w:r>
    </w:p>
    <w:p w14:paraId="47748C2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（一）主动公开</w:t>
      </w:r>
    </w:p>
    <w:p w14:paraId="7AEC45A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工布江达县工布江达镇人民政府向社会公开政府信息392条，其中政策文件类信息1条，基层动态214条，公告公示10条，财务预决算0条，其他信息101条，人事任免0条，政府工作报告0条，重点领域信息公布0条。微信公众号（掌上工布江达）共发布信息392条。2024年，工布江达镇全镇11个行政村（居），严格参照政务工作公开相关规定，向社会公开政务信息166条，涵盖生态岗位工资发放、扶贫资金去向、医疗卫生情况、低保户特困户资金发放、社保政策、林草、就业补贴等内容。</w:t>
      </w:r>
    </w:p>
    <w:p w14:paraId="299336F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（二）依申请公开情况</w:t>
      </w:r>
    </w:p>
    <w:p w14:paraId="5C327BC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2024年，工布江达县工布江达镇共受理政府信息公开申请件0件，因政府信息公开引起的行政复议0件、行政诉讼0件，依法依规配合相关部门做好政府信息依申请公开答复。</w:t>
      </w:r>
    </w:p>
    <w:p w14:paraId="34C5C35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（三）政府信息管理情况</w:t>
      </w:r>
    </w:p>
    <w:p w14:paraId="0885152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我镇注重信息化建设，不断加强政府信息管理工作。</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政府信息的收集、整理、发布、利用等各项工作已经逐步形成规范化管理体系。</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通过建立健全的信息管理制度，确保各类政府信息的准确性、完整性和时效性，推动政府管理透明化、科学化、精细化。</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已对全镇各类文件、通知、政策、工作报告等信息进行分类整理，归档保存，做到信息可追溯、可查询。</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积极推动信息化平台建设，提升信息管理的自动化水平，进一步提升服务群众的效率。</w:t>
      </w:r>
    </w:p>
    <w:p w14:paraId="6C2E250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（四）政府信息公开平台建设情况</w:t>
      </w:r>
    </w:p>
    <w:p w14:paraId="46F078F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我镇高度重视信息公开工作，并积极建设信息公开平台。目前，新媒体账号“掌上工布江达镇”运行良好，公开内容涵盖各类政策文件、行政审批事项、财政资金使用情况、重大项目进展等内容，确保公众能够方便快捷地获取政府信息。该账号不仅提供了常规的信息公开，还支持政府工作动态的实时更新。同时通过推送服务及时发布重要公告和新闻，增强了政府与群众的沟通与互动，提高了政府工作的透明度和公众的参与感。</w:t>
      </w:r>
    </w:p>
    <w:p w14:paraId="3E0C9BD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二、主动公开政府信息情况</w:t>
      </w:r>
    </w:p>
    <w:tbl>
      <w:tblPr>
        <w:tblStyle w:val="3"/>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14:paraId="5DCC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560990E1">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14:paraId="70C7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14:paraId="3A60E1EC">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14:paraId="1D44280E">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14:paraId="7C5605D6">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14:paraId="478F526D">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14:paraId="1211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16E0DB6E">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14:paraId="28E77D9A">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14:paraId="2055323E">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14:paraId="11F4FC4E">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1BC6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6D6A1E88">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14:paraId="72E59F91">
            <w:pPr>
              <w:keepNext w:val="0"/>
              <w:keepLines w:val="0"/>
              <w:pageBreakBefore w:val="0"/>
              <w:kinsoku/>
              <w:wordWrap/>
              <w:overflowPunct/>
              <w:topLinePunct w:val="0"/>
              <w:autoSpaceDE/>
              <w:autoSpaceDN w:val="0"/>
              <w:bidi w:val="0"/>
              <w:adjustRightInd/>
              <w:snapToGrid/>
              <w:spacing w:beforeAutospacing="0" w:afterAutospacing="0" w:line="576" w:lineRule="exact"/>
              <w:ind w:left="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14:paraId="643863B3">
            <w:pPr>
              <w:keepNext w:val="0"/>
              <w:keepLines w:val="0"/>
              <w:pageBreakBefore w:val="0"/>
              <w:kinsoku/>
              <w:wordWrap/>
              <w:overflowPunct/>
              <w:topLinePunct w:val="0"/>
              <w:autoSpaceDE/>
              <w:autoSpaceDN w:val="0"/>
              <w:bidi w:val="0"/>
              <w:adjustRightInd/>
              <w:snapToGrid/>
              <w:spacing w:beforeAutospacing="0" w:afterAutospacing="0" w:line="576" w:lineRule="exact"/>
              <w:ind w:left="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14:paraId="10F38DB3">
            <w:pPr>
              <w:keepNext w:val="0"/>
              <w:keepLines w:val="0"/>
              <w:pageBreakBefore w:val="0"/>
              <w:kinsoku/>
              <w:wordWrap/>
              <w:overflowPunct/>
              <w:topLinePunct w:val="0"/>
              <w:autoSpaceDE/>
              <w:autoSpaceDN w:val="0"/>
              <w:bidi w:val="0"/>
              <w:adjustRightInd/>
              <w:snapToGrid/>
              <w:spacing w:beforeAutospacing="0" w:afterAutospacing="0" w:line="576" w:lineRule="exact"/>
              <w:ind w:left="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62E6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4D19C480">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14:paraId="50D1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14:paraId="617F7EA3">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14:paraId="2076E24C">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14:paraId="35AF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36591F9F">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14:paraId="67FFA822">
            <w:pPr>
              <w:keepNext w:val="0"/>
              <w:keepLines w:val="0"/>
              <w:pageBreakBefore w:val="0"/>
              <w:widowControl/>
              <w:tabs>
                <w:tab w:val="left" w:pos="1279"/>
              </w:tabs>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ab/>
            </w:r>
            <w:r>
              <w:rPr>
                <w:rFonts w:hint="eastAsia" w:ascii="仿宋_GB2312" w:hAnsi="仿宋_GB2312" w:eastAsia="仿宋_GB2312" w:cs="仿宋_GB2312"/>
                <w:b w:val="0"/>
                <w:bCs w:val="0"/>
                <w:color w:val="auto"/>
                <w:kern w:val="0"/>
                <w:sz w:val="20"/>
                <w:szCs w:val="20"/>
                <w:lang w:val="en-US" w:eastAsia="zh-CN"/>
              </w:rPr>
              <w:t xml:space="preserve">         0</w:t>
            </w:r>
          </w:p>
        </w:tc>
      </w:tr>
      <w:tr w14:paraId="444B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2CE5CCD1">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14:paraId="713B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14:paraId="2EA5719B">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14:paraId="1D819A5A">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14:paraId="7FD7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53B95001">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14:paraId="3A0BD2C6">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2051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16321E2B">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14:paraId="3BBB61D3">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2097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0673BFD5">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14:paraId="584B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6E7B55D8">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14:paraId="40951EF2">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14:paraId="30214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7161A166">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14:paraId="67F118C7">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14:paraId="179A5F48">
      <w:pPr>
        <w:keepNext w:val="0"/>
        <w:keepLines w:val="0"/>
        <w:pageBreakBefore w:val="0"/>
        <w:widowControl w:val="0"/>
        <w:numPr>
          <w:ilvl w:val="0"/>
          <w:numId w:val="0"/>
        </w:numPr>
        <w:kinsoku/>
        <w:wordWrap/>
        <w:overflowPunct/>
        <w:topLinePunct w:val="0"/>
        <w:autoSpaceDE/>
        <w:bidi w:val="0"/>
        <w:adjustRightInd/>
        <w:snapToGrid/>
        <w:spacing w:before="0" w:beforeAutospacing="0" w:after="0" w:afterAutospacing="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3"/>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14:paraId="7B13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14:paraId="0D0A22B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w:t>
            </w:r>
            <w:r>
              <w:rPr>
                <w:rFonts w:hint="eastAsia" w:ascii="仿宋_GB2312" w:hAnsi="仿宋_GB2312" w:eastAsia="仿宋_GB2312" w:cs="仿宋_GB2312"/>
                <w:color w:val="333333"/>
                <w:sz w:val="21"/>
                <w:szCs w:val="21"/>
                <w:lang w:eastAsia="zh-CN"/>
              </w:rPr>
              <w:t>钩稽</w:t>
            </w:r>
            <w:r>
              <w:rPr>
                <w:rFonts w:hint="eastAsia" w:ascii="仿宋_GB2312" w:hAnsi="仿宋_GB2312" w:eastAsia="仿宋_GB2312" w:cs="仿宋_GB2312"/>
                <w:color w:val="333333"/>
                <w:sz w:val="21"/>
                <w:szCs w:val="21"/>
              </w:rPr>
              <w:t>关系为：第一项加第二项之和，等于第三项加第四项之和）</w:t>
            </w:r>
          </w:p>
        </w:tc>
        <w:tc>
          <w:tcPr>
            <w:tcW w:w="5331" w:type="dxa"/>
            <w:gridSpan w:val="7"/>
            <w:tcBorders>
              <w:tl2br w:val="nil"/>
              <w:tr2bl w:val="nil"/>
            </w:tcBorders>
            <w:vAlign w:val="center"/>
          </w:tcPr>
          <w:p w14:paraId="312FB18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14:paraId="573C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14:paraId="58D2548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14:paraId="64650A8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14:paraId="6123161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14:paraId="67E9C3D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14:paraId="7002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14:paraId="43D9ED7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14:paraId="744A20B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14:paraId="1349305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14:paraId="139C9A7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14:paraId="77FA621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14:paraId="0B98328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14:paraId="09A7B7B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14:paraId="13641E3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14:paraId="7A7F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14:paraId="11D45B0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14:paraId="10857E6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55B8F6B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2C9DE69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6DB56F6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10D8541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6006D0D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6775369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679A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14:paraId="025876B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14:paraId="6726B3A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54EAB14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8FEB90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2760B9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C83E9D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5F9BE96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CE13C0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2015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14:paraId="085BC54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3FCCB9A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5AC90E4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B66438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1E2D19D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7EEC5D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DB73D9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67B90AF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699C10F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21C5655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D4E19C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61869FB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083297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53AA203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6EE904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1082373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B2D1A3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2A59A3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2A139B2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C83727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27AFB24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14:paraId="3E39CA1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14:paraId="5B4461C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7D63C89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53455EA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3239F35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0530BAB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3F8019A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DD5BAA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342B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53EFABD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14:paraId="2354586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14:paraId="1AF86B4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5CB1C06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401EA25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302D9F1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311F9A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51DE0A3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7C90DD5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765A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2564BD1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2FCD0AE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7D1B215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7FA20CA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5950194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714B4CF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14:paraId="2F51CF0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14:paraId="4C0D534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46DF337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58F9A41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0E01300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5105B2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3DECB9F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10C2ABD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3821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2934747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62A462F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71D8E6D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14:paraId="5F73CA0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BA7BA7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8D651F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338ABC1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EA76D4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38B1FEE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66C5C02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29A2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770355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2F1394A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6FACD06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14:paraId="0C155AD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73D7CC4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098CDA6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6A50FAE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44D761A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74B92F6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1715BDE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2349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3164A5D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7B6B40A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5E666FB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14:paraId="772CFC6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61DF4C4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4A21F69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6BD1791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A2A00B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3746DA8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FEC0F6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319E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55F9351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7758FE6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7977A36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14:paraId="4630EAE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57E6B73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13111CA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6678F1C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26A50DD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399F005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CBC46E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7200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16F4B5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4AE97E0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5243E0B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14:paraId="726E4BF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7DCC8E4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46236DE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7FD5F3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4678000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67E8938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4FFE354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078A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532C603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6DDFE54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4002400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14:paraId="7E0D991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60050EF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56BED22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724A569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0DCCEF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39844DA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6592602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5CB8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32E5CF2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2D25EF2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6414353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14:paraId="49E6A3E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530CF69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32D5953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768DB0A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6A3863D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3A7AE4D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8F4CF6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4444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2A3387A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6B27ADF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14:paraId="67FCE06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14:paraId="038E5E3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307A17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75B86A8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A823C4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1003504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50E935C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706E005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5BC9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310CCCD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3AD4043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3905BBA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14:paraId="52249B6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054AB7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5F3C69B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0203EB9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222128E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EC8BC0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1CAF490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2768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5DF6C23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6C58DD3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6F45622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14:paraId="6D4B32F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41E258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02360D8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4F220C1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51EF97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33F3C1E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E78359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308B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977D18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6C03FF7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14:paraId="42A8F99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14:paraId="0D1AC47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C3F8CC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4722163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4FE868B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4DB65C5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0D9A951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04947DD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04C8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6486640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681BE1E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59296E7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14:paraId="269DC1C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57AB57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46097FA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4336FE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3E920C0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265BB2C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E2FF02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456A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7F3601F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2DFB630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2382744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14:paraId="298604C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4767C6A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7C4FBA4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0FD3693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3E0FCEA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778864E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3E06860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6505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7847BB6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773C94D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7F32A1F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14:paraId="4CE7DB8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888188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223A5EB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36F279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3A7CF88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A9AF82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1543F9F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6F2D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7EA2765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29B818D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6AB8254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14:paraId="2064927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F15DF7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3BB13D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3C7B516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0D8C1CE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43C6122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179E208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4B8E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14:paraId="78D5A69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2B2DF4B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14:paraId="5D85507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14:paraId="097E42D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F31499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F735EA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659DDB7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3AC6A20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90B122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3AE3814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6CCE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14:paraId="6AE9746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22C9510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0D4AE4B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14:paraId="1CA7E9C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7EBA6FA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5542440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67CF380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4B5C453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56944A5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65B417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605B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06257E5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50C3BFA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1B9FDDC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14:paraId="5071E62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4C56EAA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0179603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317B5B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F4B7BE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0FB4B42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6CD01AB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6F2B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C3CE69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14:paraId="62FE959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14:paraId="46F57BF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5B099C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01D690C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F6D659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1119331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8571F6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4E53752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510D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14:paraId="52E8491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14:paraId="62F15F5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0D8CF26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32D84F9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73D2072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236312D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4BF2EB9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3D483EE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bl>
    <w:p w14:paraId="6D9B5DC6">
      <w:pPr>
        <w:keepNext w:val="0"/>
        <w:keepLines w:val="0"/>
        <w:pageBreakBefore w:val="0"/>
        <w:widowControl w:val="0"/>
        <w:numPr>
          <w:ilvl w:val="0"/>
          <w:numId w:val="0"/>
        </w:numPr>
        <w:kinsoku/>
        <w:wordWrap/>
        <w:overflowPunct/>
        <w:topLinePunct w:val="0"/>
        <w:autoSpaceDE/>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627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14:paraId="48D20196">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14:paraId="4D45F163">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14:paraId="3039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14:paraId="0C94B148">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14:paraId="670EB268">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14:paraId="2DC372C1">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14:paraId="62ABB971">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14:paraId="0BC914CD">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14:paraId="3443B43F">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14:paraId="15E20751">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14:paraId="000C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14:paraId="09D0BA3C">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14:paraId="4C16848B">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67B4880D">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2806D28C">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14:paraId="3A8AD492">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14:paraId="5FE423F2">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0975037F">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386C2CE9">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14:paraId="349203D1">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14:paraId="6904AAC9">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14:paraId="09CC0704">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4813E2E3">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7196C9CF">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14:paraId="45D624E4">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14:paraId="43FA34CA">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14:paraId="1932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7F0607F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648185B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4BB5544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7B31670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14:paraId="25DDF41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14:paraId="147D107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69709EA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2C0A023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4AA53B4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2C67167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73D96EB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6EE1665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76896EB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1CFCDC7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7E399A9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14:paraId="5C3087F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480"/>
        <w:jc w:val="left"/>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五、</w:t>
      </w:r>
      <w:r>
        <w:rPr>
          <w:rFonts w:hint="eastAsia" w:ascii="黑体" w:hAnsi="黑体" w:eastAsia="黑体" w:cs="黑体"/>
          <w:b w:val="0"/>
          <w:bCs w:val="0"/>
          <w:color w:val="333333"/>
          <w:kern w:val="0"/>
          <w:sz w:val="32"/>
          <w:szCs w:val="32"/>
        </w:rPr>
        <w:t>存在的主要问题及改进情况</w:t>
      </w:r>
    </w:p>
    <w:p w14:paraId="1E69972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rightChars="0" w:firstLine="643" w:firstLineChars="200"/>
        <w:jc w:val="left"/>
        <w:textAlignment w:val="auto"/>
        <w:rPr>
          <w:rFonts w:hint="eastAsia" w:ascii="楷体_GB2312" w:hAnsi="楷体_GB2312" w:eastAsia="楷体_GB2312" w:cs="楷体_GB2312"/>
          <w:b/>
          <w:bCs/>
          <w:i w:val="0"/>
          <w:iCs w:val="0"/>
          <w:caps w:val="0"/>
          <w:color w:val="000000"/>
          <w:spacing w:val="0"/>
          <w:sz w:val="27"/>
          <w:szCs w:val="27"/>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（一）</w:t>
      </w:r>
      <w:r>
        <w:rPr>
          <w:rFonts w:hint="eastAsia" w:ascii="楷体_GB2312" w:hAnsi="楷体_GB2312" w:eastAsia="楷体_GB2312" w:cs="楷体_GB2312"/>
          <w:b/>
          <w:bCs/>
          <w:i w:val="0"/>
          <w:iCs w:val="0"/>
          <w:caps w:val="0"/>
          <w:color w:val="333333"/>
          <w:spacing w:val="0"/>
          <w:sz w:val="32"/>
          <w:szCs w:val="32"/>
          <w:shd w:val="clear" w:fill="FFFFFF"/>
        </w:rPr>
        <w:t>工作中存在主要问题</w:t>
      </w:r>
    </w:p>
    <w:p w14:paraId="71002D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从总体上来看存在三个较为突出的问题：</w:t>
      </w:r>
      <w:r>
        <w:rPr>
          <w:rFonts w:hint="eastAsia" w:ascii="仿宋_GB2312" w:hAnsi="仿宋_GB2312" w:eastAsia="仿宋_GB2312" w:cs="仿宋_GB2312"/>
          <w:b/>
          <w:bCs/>
          <w:sz w:val="32"/>
          <w:szCs w:val="40"/>
          <w:lang w:val="en-US" w:eastAsia="zh-CN"/>
        </w:rPr>
        <w:t>一是</w:t>
      </w:r>
      <w:r>
        <w:rPr>
          <w:rFonts w:hint="eastAsia" w:ascii="仿宋_GB2312" w:hAnsi="仿宋_GB2312" w:eastAsia="仿宋_GB2312" w:cs="仿宋_GB2312"/>
          <w:sz w:val="32"/>
          <w:szCs w:val="40"/>
        </w:rPr>
        <w:t>平台使用不广泛</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尽管政府信息公开平台已上线，但部分群众尤其是老年人群体对平台使用不熟悉，信息的有效传播受限。</w:t>
      </w:r>
      <w:r>
        <w:rPr>
          <w:rFonts w:hint="eastAsia" w:ascii="仿宋_GB2312" w:hAnsi="仿宋_GB2312" w:eastAsia="仿宋_GB2312" w:cs="仿宋_GB2312"/>
          <w:b/>
          <w:bCs/>
          <w:sz w:val="32"/>
          <w:szCs w:val="40"/>
          <w:lang w:val="en-US" w:eastAsia="zh-CN"/>
        </w:rPr>
        <w:t>二是</w:t>
      </w:r>
      <w:r>
        <w:rPr>
          <w:rFonts w:hint="eastAsia" w:ascii="仿宋_GB2312" w:hAnsi="仿宋_GB2312" w:eastAsia="仿宋_GB2312" w:cs="仿宋_GB2312"/>
          <w:sz w:val="32"/>
          <w:szCs w:val="40"/>
        </w:rPr>
        <w:t>技术支持不够</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信息管理的技术支持力量相对薄弱，部分</w:t>
      </w:r>
      <w:r>
        <w:rPr>
          <w:rFonts w:hint="eastAsia" w:ascii="仿宋_GB2312" w:hAnsi="仿宋_GB2312" w:eastAsia="仿宋_GB2312" w:cs="仿宋_GB2312"/>
          <w:sz w:val="32"/>
          <w:szCs w:val="40"/>
          <w:lang w:val="en-US" w:eastAsia="zh-CN"/>
        </w:rPr>
        <w:t>功能有待开发</w:t>
      </w:r>
      <w:r>
        <w:rPr>
          <w:rFonts w:hint="eastAsia" w:ascii="仿宋_GB2312" w:hAnsi="仿宋_GB2312" w:eastAsia="仿宋_GB2312" w:cs="仿宋_GB2312"/>
          <w:sz w:val="32"/>
          <w:szCs w:val="40"/>
        </w:rPr>
        <w:t>，影响了平台的</w:t>
      </w:r>
      <w:r>
        <w:rPr>
          <w:rFonts w:hint="eastAsia" w:ascii="仿宋_GB2312" w:hAnsi="仿宋_GB2312" w:eastAsia="仿宋_GB2312" w:cs="仿宋_GB2312"/>
          <w:sz w:val="32"/>
          <w:szCs w:val="40"/>
          <w:lang w:val="en-US" w:eastAsia="zh-CN"/>
        </w:rPr>
        <w:t>高效</w:t>
      </w:r>
      <w:r>
        <w:rPr>
          <w:rFonts w:hint="eastAsia" w:ascii="仿宋_GB2312" w:hAnsi="仿宋_GB2312" w:eastAsia="仿宋_GB2312" w:cs="仿宋_GB2312"/>
          <w:sz w:val="32"/>
          <w:szCs w:val="40"/>
        </w:rPr>
        <w:t>运行。</w:t>
      </w:r>
      <w:r>
        <w:rPr>
          <w:rFonts w:hint="eastAsia" w:ascii="仿宋_GB2312" w:hAnsi="仿宋_GB2312" w:eastAsia="仿宋_GB2312" w:cs="仿宋_GB2312"/>
          <w:b/>
          <w:bCs/>
          <w:sz w:val="32"/>
          <w:szCs w:val="40"/>
          <w:lang w:val="en-US" w:eastAsia="zh-CN"/>
        </w:rPr>
        <w:t>三是</w:t>
      </w:r>
      <w:r>
        <w:rPr>
          <w:rFonts w:hint="eastAsia" w:ascii="仿宋_GB2312" w:hAnsi="仿宋_GB2312" w:eastAsia="仿宋_GB2312" w:cs="仿宋_GB2312"/>
          <w:b w:val="0"/>
          <w:bCs w:val="0"/>
          <w:sz w:val="32"/>
          <w:szCs w:val="40"/>
          <w:lang w:val="en-US" w:eastAsia="zh-CN"/>
        </w:rPr>
        <w:t>创新方式较少。只停留在日常政务信息推送层面，未能探索更加多样的政务信息公开途径。</w:t>
      </w:r>
    </w:p>
    <w:p w14:paraId="208B6C61">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rightChars="0" w:firstLine="643" w:firstLineChars="200"/>
        <w:jc w:val="left"/>
        <w:textAlignment w:val="auto"/>
        <w:rPr>
          <w:rFonts w:hint="eastAsia" w:ascii="楷体_GB2312" w:hAnsi="楷体_GB2312" w:eastAsia="楷体_GB2312" w:cs="楷体_GB2312"/>
          <w:b/>
          <w:bCs/>
          <w:i w:val="0"/>
          <w:iCs w:val="0"/>
          <w:caps w:val="0"/>
          <w:color w:val="333333"/>
          <w:spacing w:val="0"/>
          <w:sz w:val="32"/>
          <w:szCs w:val="32"/>
          <w:shd w:val="clear" w:fill="FFFFFF"/>
          <w:lang w:val="en-US" w:eastAsia="zh-CN"/>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（二）具体解决办法和改进措施</w:t>
      </w:r>
    </w:p>
    <w:p w14:paraId="7CD855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40"/>
          <w:lang w:val="en-US" w:eastAsia="zh-CN"/>
        </w:rPr>
        <w:t>针对上述问题，我镇将通过下列措施更好地推进政务信息公开工作有序开展。</w:t>
      </w:r>
      <w:r>
        <w:rPr>
          <w:rFonts w:hint="eastAsia" w:ascii="仿宋_GB2312" w:hAnsi="仿宋_GB2312" w:eastAsia="仿宋_GB2312" w:cs="仿宋_GB2312"/>
          <w:b/>
          <w:bCs/>
          <w:sz w:val="32"/>
          <w:szCs w:val="40"/>
          <w:lang w:val="en-US" w:eastAsia="zh-CN"/>
        </w:rPr>
        <w:t>一是</w:t>
      </w:r>
      <w:r>
        <w:rPr>
          <w:rFonts w:hint="eastAsia" w:ascii="仿宋_GB2312" w:hAnsi="仿宋_GB2312" w:eastAsia="仿宋_GB2312" w:cs="仿宋_GB2312"/>
          <w:sz w:val="32"/>
          <w:szCs w:val="40"/>
        </w:rPr>
        <w:t>加大平台使用推广力度</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通过开展信息公开平台的使用培训、设立帮助热线和支持服务点，提升居民的参与度。特别是对老年人群体，可以通过设置专门的技术辅导员或志愿者帮助他们更好地了解和使用平台。</w:t>
      </w:r>
      <w:r>
        <w:rPr>
          <w:rFonts w:hint="eastAsia" w:ascii="仿宋_GB2312" w:hAnsi="仿宋_GB2312" w:eastAsia="仿宋_GB2312" w:cs="仿宋_GB2312"/>
          <w:b/>
          <w:bCs/>
          <w:sz w:val="32"/>
          <w:szCs w:val="40"/>
          <w:lang w:val="en-US" w:eastAsia="zh-CN"/>
        </w:rPr>
        <w:t>二是</w:t>
      </w:r>
      <w:r>
        <w:rPr>
          <w:rFonts w:hint="eastAsia" w:ascii="仿宋_GB2312" w:hAnsi="仿宋_GB2312" w:eastAsia="仿宋_GB2312" w:cs="仿宋_GB2312"/>
          <w:sz w:val="32"/>
          <w:szCs w:val="40"/>
        </w:rPr>
        <w:t>强化技术支撑与系统优化</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加大对信息平台技术的投入，确保平台的稳定性与安全性。加强对平台运行的技术支持，定期进行系统维护和更新，确保信息公开工作的顺畅进行。</w:t>
      </w:r>
      <w:r>
        <w:rPr>
          <w:rFonts w:hint="eastAsia" w:ascii="仿宋_GB2312" w:hAnsi="仿宋_GB2312" w:eastAsia="仿宋_GB2312" w:cs="仿宋_GB2312"/>
          <w:b/>
          <w:bCs/>
          <w:sz w:val="32"/>
          <w:szCs w:val="40"/>
          <w:lang w:val="en-US" w:eastAsia="zh-CN"/>
        </w:rPr>
        <w:t>三是</w:t>
      </w:r>
      <w:r>
        <w:rPr>
          <w:rFonts w:hint="eastAsia" w:ascii="仿宋_GB2312" w:hAnsi="仿宋_GB2312" w:eastAsia="仿宋_GB2312" w:cs="仿宋_GB2312"/>
          <w:sz w:val="32"/>
          <w:szCs w:val="40"/>
          <w:lang w:val="en-US" w:eastAsia="zh-CN"/>
        </w:rPr>
        <w:t>探索多样的信息公开方式。让政务信息公开不仅仅停留在文字形式，而是用更多群众喜闻乐见的方式扩大收悉范围。</w:t>
      </w:r>
    </w:p>
    <w:p w14:paraId="59E1D19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320"/>
        <w:jc w:val="left"/>
        <w:textAlignment w:val="auto"/>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333333"/>
          <w:spacing w:val="0"/>
          <w:kern w:val="0"/>
          <w:sz w:val="32"/>
          <w:szCs w:val="32"/>
          <w:shd w:val="clear" w:fill="FFFFFF"/>
          <w:lang w:val="en-US" w:eastAsia="zh-CN" w:bidi="ar"/>
        </w:rPr>
        <w:t>六、其他需要报告的事项</w:t>
      </w:r>
    </w:p>
    <w:p w14:paraId="2CBDE04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暂无其他需要报告的事项。</w:t>
      </w:r>
    </w:p>
    <w:p w14:paraId="48CF268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p>
    <w:p w14:paraId="27CC4C0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p>
    <w:p w14:paraId="4F66A79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p>
    <w:p w14:paraId="124B982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right"/>
        <w:textAlignment w:val="auto"/>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工布江达县工布江达镇人民政府</w:t>
      </w:r>
    </w:p>
    <w:p w14:paraId="6FE81E2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center"/>
        <w:textAlignment w:val="auto"/>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xml:space="preserve">                                 2025年1月3日</w:t>
      </w:r>
    </w:p>
    <w:p w14:paraId="1FF8215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76" w:lineRule="exact"/>
        <w:ind w:left="0" w:leftChars="0"/>
        <w:textAlignment w:val="auto"/>
        <w:rPr>
          <w:rFonts w:hint="eastAsia" w:ascii="黑体" w:hAnsi="黑体" w:eastAsia="黑体" w:cs="黑体"/>
          <w:b w:val="0"/>
          <w:bCs w:val="0"/>
          <w:color w:val="333333"/>
          <w:kern w:val="0"/>
          <w:sz w:val="32"/>
          <w:szCs w:val="32"/>
          <w:lang w:val="en-US" w:eastAsia="zh-CN"/>
        </w:rPr>
      </w:pPr>
    </w:p>
    <w:p w14:paraId="351D265D">
      <w:pPr>
        <w:keepNext w:val="0"/>
        <w:keepLines w:val="0"/>
        <w:pageBreakBefore w:val="0"/>
        <w:widowControl w:val="0"/>
        <w:numPr>
          <w:ilvl w:val="0"/>
          <w:numId w:val="0"/>
        </w:numPr>
        <w:kinsoku/>
        <w:wordWrap/>
        <w:overflowPunct/>
        <w:topLinePunct w:val="0"/>
        <w:autoSpaceDE/>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333333"/>
          <w:kern w:val="0"/>
          <w:sz w:val="32"/>
          <w:szCs w:val="32"/>
          <w:lang w:val="en-US" w:eastAsia="zh-CN"/>
        </w:rPr>
        <w:t xml:space="preserve">  </w:t>
      </w:r>
    </w:p>
    <w:p w14:paraId="038A2F31">
      <w:pPr>
        <w:keepNext w:val="0"/>
        <w:keepLines w:val="0"/>
        <w:pageBreakBefore w:val="0"/>
        <w:widowControl w:val="0"/>
        <w:numPr>
          <w:ilvl w:val="0"/>
          <w:numId w:val="0"/>
        </w:numPr>
        <w:kinsoku/>
        <w:wordWrap/>
        <w:overflowPunct/>
        <w:topLinePunct w:val="0"/>
        <w:autoSpaceDE/>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14:paraId="1A9F323D">
      <w:pPr>
        <w:keepNext w:val="0"/>
        <w:keepLines w:val="0"/>
        <w:pageBreakBefore w:val="0"/>
        <w:kinsoku/>
        <w:wordWrap/>
        <w:overflowPunct/>
        <w:topLinePunct w:val="0"/>
        <w:autoSpaceDE/>
        <w:bidi w:val="0"/>
        <w:adjustRightInd/>
        <w:snapToGrid/>
        <w:ind w:left="0"/>
        <w:rPr>
          <w:rFonts w:hint="eastAsia"/>
          <w:lang w:val="en-US" w:eastAsia="zh-CN"/>
        </w:rPr>
      </w:pPr>
    </w:p>
    <w:p w14:paraId="44584E4A">
      <w:pPr>
        <w:keepNext w:val="0"/>
        <w:keepLines w:val="0"/>
        <w:pageBreakBefore w:val="0"/>
        <w:kinsoku/>
        <w:wordWrap/>
        <w:overflowPunct/>
        <w:topLinePunct w:val="0"/>
        <w:autoSpaceDE/>
        <w:bidi w:val="0"/>
        <w:adjustRightInd/>
        <w:snapToGrid/>
        <w:ind w:left="0"/>
      </w:pPr>
    </w:p>
    <w:sectPr>
      <w:footerReference r:id="rId3" w:type="default"/>
      <w:pgMar w:top="2098" w:right="1474" w:bottom="1984" w:left="1587" w:header="720" w:footer="720" w:gutter="0"/>
      <w:pgBorders>
        <w:top w:val="none" w:sz="0" w:space="0"/>
        <w:left w:val="none" w:sz="0" w:space="0"/>
        <w:bottom w:val="none" w:sz="0" w:space="0"/>
        <w:right w:val="none" w:sz="0" w:space="0"/>
      </w:pgBorders>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87AE4">
    <w:pPr>
      <w:pStyle w:val="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B03837">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14:paraId="43B03837">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YjM3N2YzODQwYjcwMDNiN2ZkYzgyYzdiMTc0NTEifQ=="/>
  </w:docVars>
  <w:rsids>
    <w:rsidRoot w:val="23DD2452"/>
    <w:rsid w:val="0C1E6729"/>
    <w:rsid w:val="23DD2452"/>
    <w:rsid w:val="3CDA1042"/>
    <w:rsid w:val="505A2863"/>
    <w:rsid w:val="6F822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szCs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2564</Words>
  <Characters>2676</Characters>
  <Lines>0</Lines>
  <Paragraphs>0</Paragraphs>
  <TotalTime>0</TotalTime>
  <ScaleCrop>false</ScaleCrop>
  <LinksUpToDate>false</LinksUpToDate>
  <CharactersWithSpaces>2737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2025-01-02T09:15:00Z</dcterms:created>
  <dc:creator>Poker</dc:creator>
  <cp:lastModifiedBy>kilm </cp:lastModifiedBy>
  <dcterms:modified xsi:type="dcterms:W3CDTF">2025-02-10T09:20:03Z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3AEE555AA8534ED9AA65BAA0D15D4CF8_11</vt:lpwstr>
  </property>
  <property fmtid="{D5CDD505-2E9C-101B-9397-08002B2CF9AE}" pid="4" name="KSOTemplateDocerSaveRecord">
    <vt:lpwstr>eyJoZGlkIjoiZjc5NmFkMmI5NWQwYzY1NjkyZmI2NjQzNmU4MTE1NWIiLCJ1c2VySWQiOiIzMTExMTUyNDkifQ==</vt:lpwstr>
  </property>
</Properties>
</file>