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19823">
      <w:pPr>
        <w:spacing w:line="293" w:lineRule="auto"/>
        <w:rPr>
          <w:rFonts w:ascii="Arial"/>
          <w:sz w:val="21"/>
        </w:rPr>
      </w:pPr>
    </w:p>
    <w:p w14:paraId="1560E816">
      <w:pPr>
        <w:pStyle w:val="5"/>
        <w:keepNext w:val="0"/>
        <w:keepLines w:val="0"/>
        <w:pageBreakBefore w:val="0"/>
        <w:widowControl/>
        <w:kinsoku w:val="0"/>
        <w:wordWrap/>
        <w:overflowPunct/>
        <w:topLinePunct w:val="0"/>
        <w:autoSpaceDE w:val="0"/>
        <w:autoSpaceDN w:val="0"/>
        <w:bidi w:val="0"/>
        <w:adjustRightInd w:val="0"/>
        <w:snapToGrid w:val="0"/>
        <w:spacing w:after="0" w:afterLines="0" w:line="576" w:lineRule="exact"/>
        <w:ind w:left="0" w:right="0" w:firstLine="0"/>
        <w:jc w:val="center"/>
        <w:textAlignment w:val="baseline"/>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12"/>
          <w:sz w:val="44"/>
          <w:szCs w:val="44"/>
        </w:rPr>
        <w:t>林芝市</w:t>
      </w:r>
      <w:r>
        <w:rPr>
          <w:rFonts w:hint="eastAsia" w:ascii="方正小标宋简体" w:hAnsi="方正小标宋简体" w:eastAsia="方正小标宋简体" w:cs="方正小标宋简体"/>
          <w:b w:val="0"/>
          <w:bCs w:val="0"/>
          <w:sz w:val="44"/>
          <w:szCs w:val="44"/>
          <w:lang w:val="en-US" w:eastAsia="zh-CN"/>
        </w:rPr>
        <w:t>工布江达县公安局</w:t>
      </w:r>
      <w:r>
        <w:rPr>
          <w:rFonts w:hint="eastAsia" w:ascii="方正小标宋简体" w:hAnsi="方正小标宋简体" w:eastAsia="方正小标宋简体" w:cs="方正小标宋简体"/>
          <w:b w:val="0"/>
          <w:bCs w:val="0"/>
          <w:spacing w:val="12"/>
          <w:sz w:val="44"/>
          <w:szCs w:val="44"/>
        </w:rPr>
        <w:t>2024年</w:t>
      </w:r>
      <w:r>
        <w:rPr>
          <w:rFonts w:hint="eastAsia" w:ascii="方正小标宋简体" w:hAnsi="方正小标宋简体" w:eastAsia="方正小标宋简体" w:cs="方正小标宋简体"/>
          <w:b w:val="0"/>
          <w:bCs w:val="0"/>
          <w:spacing w:val="12"/>
          <w:sz w:val="44"/>
          <w:szCs w:val="44"/>
          <w:lang w:val="en-US" w:eastAsia="zh-CN"/>
        </w:rPr>
        <w:t>度</w:t>
      </w:r>
      <w:r>
        <w:rPr>
          <w:rFonts w:hint="eastAsia" w:ascii="方正小标宋简体" w:hAnsi="方正小标宋简体" w:eastAsia="方正小标宋简体" w:cs="方正小标宋简体"/>
          <w:b w:val="0"/>
          <w:bCs w:val="0"/>
          <w:spacing w:val="12"/>
          <w:sz w:val="44"/>
          <w:szCs w:val="44"/>
        </w:rPr>
        <w:t>政府信息公开</w:t>
      </w:r>
      <w:r>
        <w:rPr>
          <w:rFonts w:hint="eastAsia" w:ascii="方正小标宋简体" w:hAnsi="方正小标宋简体" w:eastAsia="方正小标宋简体" w:cs="方正小标宋简体"/>
          <w:b w:val="0"/>
          <w:bCs w:val="0"/>
          <w:spacing w:val="-11"/>
          <w:sz w:val="44"/>
          <w:szCs w:val="44"/>
        </w:rPr>
        <w:t>工作年度报告</w:t>
      </w:r>
    </w:p>
    <w:p w14:paraId="401C6F2D">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ascii="Arial"/>
          <w:sz w:val="21"/>
        </w:rPr>
      </w:pPr>
    </w:p>
    <w:p w14:paraId="3CEECE56">
      <w:pPr>
        <w:keepNext w:val="0"/>
        <w:keepLines w:val="0"/>
        <w:pageBreakBefore w:val="0"/>
        <w:widowControl/>
        <w:kinsoku w:val="0"/>
        <w:wordWrap/>
        <w:overflowPunct/>
        <w:topLinePunct w:val="0"/>
        <w:autoSpaceDE w:val="0"/>
        <w:autoSpaceDN w:val="0"/>
        <w:bidi w:val="0"/>
        <w:adjustRightInd w:val="0"/>
        <w:snapToGrid w:val="0"/>
        <w:spacing w:line="576" w:lineRule="exact"/>
        <w:textAlignment w:val="baseline"/>
        <w:rPr>
          <w:rFonts w:ascii="Arial"/>
          <w:sz w:val="21"/>
        </w:rPr>
      </w:pPr>
    </w:p>
    <w:p w14:paraId="5CB07337">
      <w:pPr>
        <w:pStyle w:val="5"/>
        <w:keepNext w:val="0"/>
        <w:keepLines w:val="0"/>
        <w:pageBreakBefore w:val="0"/>
        <w:widowControl w:val="0"/>
        <w:kinsoku/>
        <w:wordWrap/>
        <w:overflowPunct/>
        <w:topLinePunct/>
        <w:autoSpaceDE/>
        <w:autoSpaceDN/>
        <w:bidi w:val="0"/>
        <w:adjustRightInd w:val="0"/>
        <w:snapToGrid w:val="0"/>
        <w:spacing w:after="0" w:afterLines="0" w:line="576" w:lineRule="exact"/>
        <w:ind w:left="0" w:right="0"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4"/>
          <w:sz w:val="32"/>
          <w:szCs w:val="32"/>
        </w:rPr>
        <w:t>根据《中华人民共和国政府信息公开条例》(国务院令第711</w:t>
      </w:r>
      <w:r>
        <w:rPr>
          <w:rFonts w:hint="eastAsia" w:ascii="仿宋_GB2312" w:hAnsi="仿宋_GB2312" w:eastAsia="仿宋_GB2312" w:cs="仿宋_GB2312"/>
          <w:spacing w:val="10"/>
          <w:sz w:val="32"/>
          <w:szCs w:val="32"/>
        </w:rPr>
        <w:t>号，以下简称《条例》)以及《国务院办公厅政府信息与政务公</w:t>
      </w:r>
      <w:r>
        <w:rPr>
          <w:rFonts w:hint="eastAsia" w:ascii="仿宋_GB2312" w:hAnsi="仿宋_GB2312" w:eastAsia="仿宋_GB2312" w:cs="仿宋_GB2312"/>
          <w:spacing w:val="11"/>
          <w:sz w:val="32"/>
          <w:szCs w:val="32"/>
        </w:rPr>
        <w:t>开办公室关于印发&lt;中华人民共和国政府信息公开工作年</w:t>
      </w:r>
      <w:r>
        <w:rPr>
          <w:rFonts w:hint="eastAsia" w:ascii="仿宋_GB2312" w:hAnsi="仿宋_GB2312" w:eastAsia="仿宋_GB2312" w:cs="仿宋_GB2312"/>
          <w:spacing w:val="10"/>
          <w:sz w:val="32"/>
          <w:szCs w:val="32"/>
        </w:rPr>
        <w:t>度报告</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pacing w:val="20"/>
          <w:sz w:val="32"/>
          <w:szCs w:val="32"/>
        </w:rPr>
        <w:t>格式&gt;的通知》(国办公开办函〔2021〕30号)要</w:t>
      </w:r>
      <w:r>
        <w:rPr>
          <w:rFonts w:hint="eastAsia" w:ascii="仿宋_GB2312" w:hAnsi="仿宋_GB2312" w:eastAsia="仿宋_GB2312" w:cs="仿宋_GB2312"/>
          <w:spacing w:val="19"/>
          <w:sz w:val="32"/>
          <w:szCs w:val="32"/>
        </w:rPr>
        <w:t>求，现公布林芝市</w:t>
      </w:r>
      <w:r>
        <w:rPr>
          <w:rFonts w:hint="eastAsia" w:ascii="仿宋_GB2312" w:hAnsi="仿宋_GB2312" w:eastAsia="仿宋_GB2312" w:cs="仿宋_GB2312"/>
          <w:spacing w:val="19"/>
          <w:sz w:val="32"/>
          <w:szCs w:val="32"/>
          <w:lang w:val="en-US" w:eastAsia="zh-CN"/>
        </w:rPr>
        <w:t>工布江达县公安局</w:t>
      </w:r>
      <w:r>
        <w:rPr>
          <w:rFonts w:hint="eastAsia" w:ascii="仿宋_GB2312" w:hAnsi="仿宋_GB2312" w:eastAsia="仿宋_GB2312" w:cs="仿宋_GB2312"/>
          <w:spacing w:val="9"/>
          <w:sz w:val="32"/>
          <w:szCs w:val="32"/>
        </w:rPr>
        <w:t>2024年政府信息公开工作年度报告。</w:t>
      </w:r>
    </w:p>
    <w:p w14:paraId="0AB1D8F8">
      <w:pPr>
        <w:pStyle w:val="5"/>
        <w:keepNext w:val="0"/>
        <w:keepLines w:val="0"/>
        <w:pageBreakBefore w:val="0"/>
        <w:widowControl w:val="0"/>
        <w:kinsoku/>
        <w:wordWrap/>
        <w:overflowPunct/>
        <w:topLinePunct/>
        <w:autoSpaceDE/>
        <w:autoSpaceDN/>
        <w:bidi w:val="0"/>
        <w:adjustRightInd w:val="0"/>
        <w:snapToGrid w:val="0"/>
        <w:spacing w:after="0" w:afterLines="0" w:line="576" w:lineRule="exact"/>
        <w:ind w:left="0" w:right="0" w:firstLine="66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报告包括总体情况、主动公开政府信息情况、收到和处理政府信息公开申请情况、政府信息公开行政复议和行政诉讼情况、存在的主要问题及改进情况、其他需要报告的事项等六个部分。除特别说明外，所列数据统计时限为2024年1月1日至2024年12月31日。报告电子版可在工布江达县人民政府网下载(http://www.gongbujiangda.gov.cn/)。</w:t>
      </w:r>
      <w:r>
        <w:rPr>
          <w:rFonts w:hint="eastAsia" w:ascii="仿宋_GB2312" w:hAnsi="仿宋_GB2312" w:eastAsia="仿宋_GB2312" w:cs="仿宋_GB2312"/>
          <w:spacing w:val="18"/>
          <w:sz w:val="32"/>
          <w:szCs w:val="32"/>
        </w:rPr>
        <w:t>公众如需进一</w:t>
      </w:r>
      <w:r>
        <w:rPr>
          <w:rFonts w:hint="eastAsia" w:ascii="仿宋_GB2312" w:hAnsi="仿宋_GB2312" w:eastAsia="仿宋_GB2312" w:cs="仿宋_GB2312"/>
          <w:spacing w:val="-9"/>
          <w:sz w:val="32"/>
          <w:szCs w:val="32"/>
        </w:rPr>
        <w:t>步咨询了解相关信息，请与</w:t>
      </w:r>
      <w:r>
        <w:rPr>
          <w:rFonts w:hint="eastAsia" w:ascii="仿宋_GB2312" w:hAnsi="仿宋_GB2312" w:eastAsia="仿宋_GB2312" w:cs="仿宋_GB2312"/>
          <w:spacing w:val="-9"/>
          <w:sz w:val="32"/>
          <w:szCs w:val="32"/>
          <w:lang w:eastAsia="zh-CN"/>
        </w:rPr>
        <w:t>我</w:t>
      </w:r>
      <w:r>
        <w:rPr>
          <w:rFonts w:hint="eastAsia" w:ascii="仿宋_GB2312" w:hAnsi="仿宋_GB2312" w:eastAsia="仿宋_GB2312" w:cs="仿宋_GB2312"/>
          <w:spacing w:val="-9"/>
          <w:sz w:val="32"/>
          <w:szCs w:val="32"/>
          <w:lang w:val="en-US" w:eastAsia="zh-CN"/>
        </w:rPr>
        <w:t>单位</w:t>
      </w:r>
      <w:r>
        <w:rPr>
          <w:rFonts w:hint="eastAsia" w:ascii="仿宋_GB2312" w:hAnsi="仿宋_GB2312" w:eastAsia="仿宋_GB2312" w:cs="仿宋_GB2312"/>
          <w:spacing w:val="-9"/>
          <w:sz w:val="32"/>
          <w:szCs w:val="32"/>
        </w:rPr>
        <w:t>联系(地址：</w:t>
      </w:r>
      <w:r>
        <w:rPr>
          <w:rFonts w:hint="eastAsia" w:ascii="仿宋_GB2312" w:hAnsi="仿宋_GB2312" w:eastAsia="仿宋_GB2312" w:cs="仿宋_GB2312"/>
          <w:spacing w:val="-9"/>
          <w:sz w:val="32"/>
          <w:szCs w:val="32"/>
          <w:lang w:val="en-US" w:eastAsia="zh-CN"/>
        </w:rPr>
        <w:t>工布江达县川藏北路3号</w:t>
      </w:r>
      <w:r>
        <w:rPr>
          <w:rFonts w:hint="eastAsia" w:ascii="仿宋_GB2312" w:hAnsi="仿宋_GB2312" w:eastAsia="仿宋_GB2312" w:cs="仿宋_GB2312"/>
          <w:spacing w:val="-9"/>
          <w:sz w:val="32"/>
          <w:szCs w:val="32"/>
        </w:rPr>
        <w:t>;邮编</w:t>
      </w:r>
      <w:r>
        <w:rPr>
          <w:rFonts w:hint="eastAsia" w:ascii="仿宋_GB2312" w:hAnsi="仿宋_GB2312" w:eastAsia="仿宋_GB2312" w:cs="仿宋_GB2312"/>
          <w:spacing w:val="-9"/>
          <w:sz w:val="32"/>
          <w:szCs w:val="32"/>
          <w:lang w:eastAsia="zh-CN"/>
        </w:rPr>
        <w:t>：</w:t>
      </w:r>
      <w:r>
        <w:rPr>
          <w:rFonts w:hint="eastAsia" w:ascii="仿宋_GB2312" w:hAnsi="仿宋_GB2312" w:eastAsia="仿宋_GB2312" w:cs="仿宋_GB2312"/>
          <w:spacing w:val="-9"/>
          <w:sz w:val="32"/>
          <w:szCs w:val="32"/>
          <w:lang w:val="en-US" w:eastAsia="zh-CN"/>
        </w:rPr>
        <w:t>860200；</w:t>
      </w:r>
      <w:r>
        <w:rPr>
          <w:rFonts w:hint="eastAsia" w:ascii="仿宋_GB2312" w:hAnsi="仿宋_GB2312" w:eastAsia="仿宋_GB2312" w:cs="仿宋_GB2312"/>
          <w:spacing w:val="-4"/>
          <w:sz w:val="32"/>
          <w:szCs w:val="32"/>
        </w:rPr>
        <w:t>电话：</w:t>
      </w:r>
      <w:r>
        <w:rPr>
          <w:rFonts w:hint="eastAsia" w:ascii="仿宋_GB2312" w:hAnsi="仿宋_GB2312" w:eastAsia="仿宋_GB2312" w:cs="仿宋_GB2312"/>
          <w:spacing w:val="-4"/>
          <w:sz w:val="32"/>
          <w:szCs w:val="32"/>
          <w:lang w:val="en-US" w:eastAsia="zh-CN"/>
        </w:rPr>
        <w:t>0894-5412245</w:t>
      </w:r>
      <w:r>
        <w:rPr>
          <w:rFonts w:hint="eastAsia" w:ascii="仿宋_GB2312" w:hAnsi="仿宋_GB2312" w:eastAsia="仿宋_GB2312" w:cs="仿宋_GB2312"/>
          <w:spacing w:val="-4"/>
          <w:sz w:val="32"/>
          <w:szCs w:val="32"/>
        </w:rPr>
        <w:t>)。</w:t>
      </w:r>
    </w:p>
    <w:p w14:paraId="5706819B">
      <w:pPr>
        <w:keepNext w:val="0"/>
        <w:keepLines w:val="0"/>
        <w:pageBreakBefore w:val="0"/>
        <w:widowControl w:val="0"/>
        <w:kinsoku/>
        <w:wordWrap/>
        <w:overflowPunct/>
        <w:topLinePunct/>
        <w:autoSpaceDE/>
        <w:autoSpaceDN/>
        <w:bidi w:val="0"/>
        <w:adjustRightInd w:val="0"/>
        <w:snapToGrid w:val="0"/>
        <w:spacing w:line="576" w:lineRule="exact"/>
        <w:ind w:left="0" w:right="0" w:firstLine="604" w:firstLineChars="200"/>
        <w:textAlignment w:val="baseline"/>
        <w:outlineLvl w:val="0"/>
        <w:rPr>
          <w:rFonts w:hint="eastAsia" w:ascii="黑体" w:hAnsi="黑体" w:eastAsia="黑体" w:cs="黑体"/>
          <w:b w:val="0"/>
          <w:bCs w:val="0"/>
          <w:sz w:val="32"/>
          <w:szCs w:val="32"/>
        </w:rPr>
      </w:pPr>
      <w:r>
        <w:rPr>
          <w:rFonts w:hint="eastAsia" w:ascii="黑体" w:hAnsi="黑体" w:eastAsia="黑体" w:cs="黑体"/>
          <w:b w:val="0"/>
          <w:bCs w:val="0"/>
          <w:spacing w:val="-9"/>
          <w:sz w:val="32"/>
          <w:szCs w:val="32"/>
        </w:rPr>
        <w:t>一</w:t>
      </w:r>
      <w:r>
        <w:rPr>
          <w:rFonts w:hint="eastAsia" w:ascii="黑体" w:hAnsi="黑体" w:eastAsia="黑体" w:cs="黑体"/>
          <w:b w:val="0"/>
          <w:bCs w:val="0"/>
          <w:spacing w:val="-89"/>
          <w:sz w:val="32"/>
          <w:szCs w:val="32"/>
        </w:rPr>
        <w:t xml:space="preserve"> </w:t>
      </w:r>
      <w:r>
        <w:rPr>
          <w:rFonts w:hint="eastAsia" w:ascii="黑体" w:hAnsi="黑体" w:eastAsia="黑体" w:cs="黑体"/>
          <w:b w:val="0"/>
          <w:bCs w:val="0"/>
          <w:spacing w:val="-9"/>
          <w:sz w:val="32"/>
          <w:szCs w:val="32"/>
        </w:rPr>
        <w:t>、总体情况</w:t>
      </w:r>
    </w:p>
    <w:p w14:paraId="39E77EA7">
      <w:pPr>
        <w:pStyle w:val="5"/>
        <w:keepNext w:val="0"/>
        <w:keepLines w:val="0"/>
        <w:pageBreakBefore w:val="0"/>
        <w:widowControl w:val="0"/>
        <w:kinsoku/>
        <w:wordWrap/>
        <w:overflowPunct/>
        <w:topLinePunct/>
        <w:autoSpaceDE/>
        <w:autoSpaceDN/>
        <w:bidi w:val="0"/>
        <w:adjustRightInd w:val="0"/>
        <w:snapToGrid w:val="0"/>
        <w:spacing w:after="0" w:afterLines="0" w:line="576" w:lineRule="exact"/>
        <w:ind w:left="0" w:right="0" w:firstLine="660"/>
        <w:jc w:val="both"/>
        <w:textAlignment w:val="baseline"/>
        <w:rPr>
          <w:rFonts w:ascii="Arial"/>
          <w:sz w:val="21"/>
        </w:rPr>
      </w:pPr>
      <w:r>
        <w:rPr>
          <w:rFonts w:hint="eastAsia" w:ascii="仿宋_GB2312" w:hAnsi="仿宋_GB2312" w:eastAsia="仿宋_GB2312" w:cs="仿宋_GB2312"/>
          <w:spacing w:val="4"/>
          <w:sz w:val="32"/>
          <w:szCs w:val="32"/>
          <w:lang w:val="en-US" w:eastAsia="zh-CN"/>
        </w:rPr>
        <w:t>2024年，</w:t>
      </w:r>
      <w:r>
        <w:rPr>
          <w:rFonts w:hint="eastAsia" w:ascii="仿宋_GB2312" w:hAnsi="仿宋_GB2312" w:eastAsia="仿宋_GB2312" w:cs="仿宋_GB2312"/>
          <w:spacing w:val="4"/>
          <w:sz w:val="32"/>
          <w:szCs w:val="32"/>
          <w:lang w:eastAsia="zh-CN"/>
        </w:rPr>
        <w:t>公安局</w:t>
      </w:r>
      <w:r>
        <w:rPr>
          <w:rFonts w:hint="eastAsia" w:ascii="仿宋_GB2312" w:hAnsi="仿宋_GB2312" w:eastAsia="仿宋_GB2312" w:cs="仿宋_GB2312"/>
          <w:spacing w:val="4"/>
          <w:sz w:val="32"/>
          <w:szCs w:val="32"/>
        </w:rPr>
        <w:t>高度重视信息公开工作，严格按照《中华人民共和国政府信息公开条例》(国务院令第711号，以下简称《条例》)以及《国务院办公厅政府信息与政务公开办公室关于印发&lt;中华人民共和国政府信息公开工作年度报告格式&gt;的通知</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(国办公开办函[2021]30号)以及自治区、市、县相关工作部署，坚持以公开透明为基本原则，以保障人民群众知情权、参与权和监督权为目标，按照公开、公正、便民、勤政、廉政的要求，</w:t>
      </w:r>
      <w:r>
        <w:rPr>
          <w:rFonts w:hint="eastAsia" w:ascii="仿宋_GB2312" w:hAnsi="仿宋_GB2312" w:eastAsia="仿宋_GB2312" w:cs="仿宋_GB2312"/>
          <w:spacing w:val="4"/>
          <w:sz w:val="32"/>
          <w:szCs w:val="32"/>
          <w:lang w:eastAsia="zh-CN"/>
        </w:rPr>
        <w:t>在工布江达县人民政府信息公开</w:t>
      </w:r>
      <w:r>
        <w:rPr>
          <w:rFonts w:hint="eastAsia" w:ascii="仿宋_GB2312" w:hAnsi="仿宋_GB2312" w:eastAsia="仿宋_GB2312" w:cs="仿宋_GB2312"/>
          <w:spacing w:val="4"/>
          <w:sz w:val="32"/>
          <w:szCs w:val="32"/>
          <w:lang w:val="en-US" w:eastAsia="zh-CN"/>
        </w:rPr>
        <w:t>3</w:t>
      </w:r>
      <w:r>
        <w:rPr>
          <w:rFonts w:hint="eastAsia" w:ascii="仿宋_GB2312" w:hAnsi="仿宋_GB2312" w:eastAsia="仿宋_GB2312" w:cs="仿宋_GB2312"/>
          <w:spacing w:val="4"/>
          <w:sz w:val="32"/>
          <w:szCs w:val="32"/>
        </w:rPr>
        <w:t>条。</w:t>
      </w:r>
    </w:p>
    <w:p w14:paraId="4BD16C54">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二、主动公开政府信息情况</w:t>
      </w:r>
    </w:p>
    <w:tbl>
      <w:tblPr>
        <w:tblStyle w:val="12"/>
        <w:tblpPr w:leftFromText="180" w:rightFromText="180" w:vertAnchor="text" w:horzAnchor="page" w:tblpX="1477" w:tblpY="19"/>
        <w:tblOverlap w:val="never"/>
        <w:tblW w:w="93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31"/>
        <w:gridCol w:w="2237"/>
        <w:gridCol w:w="1898"/>
        <w:gridCol w:w="1973"/>
      </w:tblGrid>
      <w:tr w14:paraId="07666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9339" w:type="dxa"/>
            <w:gridSpan w:val="4"/>
            <w:shd w:val="clear" w:color="auto" w:fill="C7DAF1" w:themeFill="text2" w:themeFillTint="32"/>
            <w:vAlign w:val="top"/>
          </w:tcPr>
          <w:p w14:paraId="26339DAB">
            <w:pPr>
              <w:pStyle w:val="13"/>
              <w:spacing w:before="193" w:line="219" w:lineRule="auto"/>
              <w:ind w:left="3864"/>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第二十条第(一)项</w:t>
            </w:r>
          </w:p>
        </w:tc>
      </w:tr>
      <w:tr w14:paraId="5E7A1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3231" w:type="dxa"/>
            <w:vAlign w:val="top"/>
          </w:tcPr>
          <w:p w14:paraId="012E30A9">
            <w:pPr>
              <w:spacing w:line="302" w:lineRule="auto"/>
              <w:jc w:val="center"/>
              <w:rPr>
                <w:rFonts w:hint="eastAsia" w:ascii="仿宋_GB2312" w:hAnsi="仿宋_GB2312" w:eastAsia="仿宋_GB2312" w:cs="仿宋_GB2312"/>
                <w:sz w:val="24"/>
                <w:szCs w:val="24"/>
                <w:lang w:val="en-US" w:eastAsia="zh-CN"/>
              </w:rPr>
            </w:pPr>
          </w:p>
          <w:p w14:paraId="483EA0F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信息内容</w:t>
            </w:r>
          </w:p>
        </w:tc>
        <w:tc>
          <w:tcPr>
            <w:tcW w:w="2237" w:type="dxa"/>
            <w:vAlign w:val="top"/>
          </w:tcPr>
          <w:p w14:paraId="7554F290">
            <w:pPr>
              <w:spacing w:line="302" w:lineRule="auto"/>
              <w:jc w:val="center"/>
              <w:rPr>
                <w:rFonts w:hint="eastAsia" w:ascii="仿宋_GB2312" w:hAnsi="仿宋_GB2312" w:eastAsia="仿宋_GB2312" w:cs="仿宋_GB2312"/>
                <w:sz w:val="24"/>
                <w:szCs w:val="24"/>
                <w:lang w:val="en-US" w:eastAsia="zh-CN"/>
              </w:rPr>
            </w:pPr>
          </w:p>
          <w:p w14:paraId="0D41CBA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本年制发件数</w:t>
            </w:r>
          </w:p>
        </w:tc>
        <w:tc>
          <w:tcPr>
            <w:tcW w:w="1898" w:type="dxa"/>
            <w:vAlign w:val="top"/>
          </w:tcPr>
          <w:p w14:paraId="44ECAC4B">
            <w:pPr>
              <w:spacing w:line="302" w:lineRule="auto"/>
              <w:jc w:val="center"/>
              <w:rPr>
                <w:rFonts w:hint="eastAsia" w:ascii="仿宋_GB2312" w:hAnsi="仿宋_GB2312" w:eastAsia="仿宋_GB2312" w:cs="仿宋_GB2312"/>
                <w:sz w:val="24"/>
                <w:szCs w:val="24"/>
                <w:lang w:val="en-US" w:eastAsia="zh-CN"/>
              </w:rPr>
            </w:pPr>
          </w:p>
          <w:p w14:paraId="3F6D07E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本年废止件数</w:t>
            </w:r>
          </w:p>
        </w:tc>
        <w:tc>
          <w:tcPr>
            <w:tcW w:w="1973" w:type="dxa"/>
            <w:vAlign w:val="top"/>
          </w:tcPr>
          <w:p w14:paraId="681A05B4">
            <w:pPr>
              <w:spacing w:line="302" w:lineRule="auto"/>
              <w:jc w:val="center"/>
              <w:rPr>
                <w:rFonts w:hint="eastAsia" w:ascii="仿宋_GB2312" w:hAnsi="仿宋_GB2312" w:eastAsia="仿宋_GB2312" w:cs="仿宋_GB2312"/>
                <w:sz w:val="24"/>
                <w:szCs w:val="24"/>
                <w:lang w:val="en-US" w:eastAsia="zh-CN"/>
              </w:rPr>
            </w:pPr>
          </w:p>
          <w:p w14:paraId="6B26DC2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现行有效件数</w:t>
            </w:r>
          </w:p>
        </w:tc>
      </w:tr>
      <w:tr w14:paraId="29ADF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trPr>
        <w:tc>
          <w:tcPr>
            <w:tcW w:w="3231" w:type="dxa"/>
            <w:vAlign w:val="top"/>
          </w:tcPr>
          <w:p w14:paraId="1303165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规章</w:t>
            </w:r>
          </w:p>
        </w:tc>
        <w:tc>
          <w:tcPr>
            <w:tcW w:w="2237" w:type="dxa"/>
            <w:vAlign w:val="top"/>
          </w:tcPr>
          <w:p w14:paraId="72785AB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898" w:type="dxa"/>
            <w:vAlign w:val="top"/>
          </w:tcPr>
          <w:p w14:paraId="7454F68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973" w:type="dxa"/>
            <w:vAlign w:val="top"/>
          </w:tcPr>
          <w:p w14:paraId="0D05F90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672D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 w:hRule="atLeast"/>
        </w:trPr>
        <w:tc>
          <w:tcPr>
            <w:tcW w:w="3231" w:type="dxa"/>
            <w:vAlign w:val="top"/>
          </w:tcPr>
          <w:p w14:paraId="0032DC7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行政规范性文件</w:t>
            </w:r>
          </w:p>
        </w:tc>
        <w:tc>
          <w:tcPr>
            <w:tcW w:w="2237" w:type="dxa"/>
            <w:vAlign w:val="top"/>
          </w:tcPr>
          <w:p w14:paraId="115CC8D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898" w:type="dxa"/>
            <w:vAlign w:val="top"/>
          </w:tcPr>
          <w:p w14:paraId="1324B24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1973" w:type="dxa"/>
            <w:vAlign w:val="top"/>
          </w:tcPr>
          <w:p w14:paraId="70843E5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44C0D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9339" w:type="dxa"/>
            <w:gridSpan w:val="4"/>
            <w:vAlign w:val="top"/>
          </w:tcPr>
          <w:p w14:paraId="560AC971">
            <w:pPr>
              <w:shd w:val="clear" w:fill="C7DAF1" w:themeFill="text2" w:themeFillTint="32"/>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第二十条第(五)项</w:t>
            </w:r>
          </w:p>
        </w:tc>
      </w:tr>
      <w:tr w14:paraId="26BFA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3231" w:type="dxa"/>
            <w:vAlign w:val="top"/>
          </w:tcPr>
          <w:p w14:paraId="5008D59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信息内容</w:t>
            </w:r>
          </w:p>
        </w:tc>
        <w:tc>
          <w:tcPr>
            <w:tcW w:w="6108" w:type="dxa"/>
            <w:gridSpan w:val="3"/>
            <w:vAlign w:val="top"/>
          </w:tcPr>
          <w:p w14:paraId="1EFD170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本年处理决定数量</w:t>
            </w:r>
          </w:p>
        </w:tc>
      </w:tr>
      <w:tr w14:paraId="1FEB6F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3231" w:type="dxa"/>
            <w:vAlign w:val="top"/>
          </w:tcPr>
          <w:p w14:paraId="31AC157B">
            <w:pPr>
              <w:spacing w:line="30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行政许可</w:t>
            </w:r>
          </w:p>
        </w:tc>
        <w:tc>
          <w:tcPr>
            <w:tcW w:w="6108" w:type="dxa"/>
            <w:gridSpan w:val="3"/>
            <w:vAlign w:val="top"/>
          </w:tcPr>
          <w:p w14:paraId="3894F31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医疗机构许可证备案</w:t>
            </w:r>
          </w:p>
        </w:tc>
      </w:tr>
      <w:tr w14:paraId="57B62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9339" w:type="dxa"/>
            <w:gridSpan w:val="4"/>
            <w:vAlign w:val="top"/>
          </w:tcPr>
          <w:p w14:paraId="68AD8A87">
            <w:pPr>
              <w:shd w:val="clear" w:fill="C7DAF1" w:themeFill="text2" w:themeFillTint="32"/>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第二十条第(六)项</w:t>
            </w:r>
          </w:p>
        </w:tc>
      </w:tr>
      <w:tr w14:paraId="3EC11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231" w:type="dxa"/>
            <w:vAlign w:val="top"/>
          </w:tcPr>
          <w:p w14:paraId="256D82E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信息内容</w:t>
            </w:r>
          </w:p>
        </w:tc>
        <w:tc>
          <w:tcPr>
            <w:tcW w:w="6108" w:type="dxa"/>
            <w:gridSpan w:val="3"/>
            <w:vAlign w:val="top"/>
          </w:tcPr>
          <w:p w14:paraId="3E3FC71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本年处理决定数量</w:t>
            </w:r>
          </w:p>
        </w:tc>
      </w:tr>
      <w:tr w14:paraId="15F98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3231" w:type="dxa"/>
            <w:vAlign w:val="top"/>
          </w:tcPr>
          <w:p w14:paraId="092F1B2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行政处罚</w:t>
            </w:r>
          </w:p>
        </w:tc>
        <w:tc>
          <w:tcPr>
            <w:tcW w:w="6108" w:type="dxa"/>
            <w:gridSpan w:val="3"/>
            <w:vAlign w:val="top"/>
          </w:tcPr>
          <w:p w14:paraId="769CE38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06BA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3231" w:type="dxa"/>
            <w:vAlign w:val="top"/>
          </w:tcPr>
          <w:p w14:paraId="317A44E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行政强制</w:t>
            </w:r>
          </w:p>
        </w:tc>
        <w:tc>
          <w:tcPr>
            <w:tcW w:w="6108" w:type="dxa"/>
            <w:gridSpan w:val="3"/>
            <w:vAlign w:val="top"/>
          </w:tcPr>
          <w:p w14:paraId="36BD8A6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E903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9339" w:type="dxa"/>
            <w:gridSpan w:val="4"/>
            <w:shd w:val="clear" w:color="auto" w:fill="C7DAF1" w:themeFill="text2" w:themeFillTint="32"/>
            <w:vAlign w:val="top"/>
          </w:tcPr>
          <w:p w14:paraId="0D62EF1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第二十条第(八)项</w:t>
            </w:r>
          </w:p>
        </w:tc>
      </w:tr>
      <w:tr w14:paraId="3C4BC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3231" w:type="dxa"/>
            <w:vAlign w:val="top"/>
          </w:tcPr>
          <w:p w14:paraId="1B4A7CC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信息内容</w:t>
            </w:r>
          </w:p>
        </w:tc>
        <w:tc>
          <w:tcPr>
            <w:tcW w:w="6108" w:type="dxa"/>
            <w:gridSpan w:val="3"/>
            <w:vAlign w:val="top"/>
          </w:tcPr>
          <w:p w14:paraId="351893C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本年收费金额(单位：万元)</w:t>
            </w:r>
          </w:p>
        </w:tc>
      </w:tr>
      <w:tr w14:paraId="6FB3F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3231" w:type="dxa"/>
            <w:vAlign w:val="top"/>
          </w:tcPr>
          <w:p w14:paraId="6CEFFD7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行政事业性收费</w:t>
            </w:r>
          </w:p>
        </w:tc>
        <w:tc>
          <w:tcPr>
            <w:tcW w:w="6108" w:type="dxa"/>
            <w:gridSpan w:val="3"/>
            <w:vAlign w:val="top"/>
          </w:tcPr>
          <w:p w14:paraId="2C92ED5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5F5F7A3C">
      <w:pPr>
        <w:spacing w:line="33" w:lineRule="exact"/>
      </w:pPr>
    </w:p>
    <w:p w14:paraId="3984AE49">
      <w:pPr>
        <w:keepNext w:val="0"/>
        <w:keepLines w:val="0"/>
        <w:pageBreakBefore w:val="0"/>
        <w:widowControl/>
        <w:kinsoku w:val="0"/>
        <w:wordWrap/>
        <w:overflowPunct/>
        <w:topLinePunct w:val="0"/>
        <w:autoSpaceDE w:val="0"/>
        <w:autoSpaceDN w:val="0"/>
        <w:bidi w:val="0"/>
        <w:adjustRightInd w:val="0"/>
        <w:snapToGrid w:val="0"/>
        <w:spacing w:line="576" w:lineRule="exact"/>
        <w:ind w:right="0" w:firstLine="906" w:firstLineChars="3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三、收到和处理政府信息公开申请情况</w:t>
      </w:r>
    </w:p>
    <w:p w14:paraId="45693AE8">
      <w:pPr>
        <w:spacing w:line="51" w:lineRule="auto"/>
        <w:jc w:val="center"/>
        <w:rPr>
          <w:rFonts w:hint="eastAsia" w:ascii="仿宋_GB2312" w:hAnsi="仿宋_GB2312" w:eastAsia="仿宋_GB2312" w:cs="仿宋_GB2312"/>
          <w:sz w:val="2"/>
        </w:rPr>
      </w:pPr>
    </w:p>
    <w:tbl>
      <w:tblPr>
        <w:tblStyle w:val="12"/>
        <w:tblW w:w="9221" w:type="dxa"/>
        <w:tblInd w:w="1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5"/>
        <w:gridCol w:w="710"/>
        <w:gridCol w:w="2775"/>
        <w:gridCol w:w="583"/>
        <w:gridCol w:w="527"/>
        <w:gridCol w:w="779"/>
        <w:gridCol w:w="899"/>
        <w:gridCol w:w="919"/>
        <w:gridCol w:w="649"/>
        <w:gridCol w:w="785"/>
      </w:tblGrid>
      <w:tr w14:paraId="0F74A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4080" w:type="dxa"/>
            <w:gridSpan w:val="3"/>
            <w:vMerge w:val="restart"/>
            <w:tcBorders>
              <w:bottom w:val="nil"/>
            </w:tcBorders>
            <w:vAlign w:val="top"/>
          </w:tcPr>
          <w:p w14:paraId="6A2AB94D">
            <w:pPr>
              <w:spacing w:line="302" w:lineRule="auto"/>
              <w:jc w:val="left"/>
              <w:rPr>
                <w:rFonts w:hint="eastAsia" w:ascii="仿宋_GB2312" w:hAnsi="仿宋_GB2312" w:eastAsia="仿宋_GB2312" w:cs="仿宋_GB2312"/>
                <w:sz w:val="24"/>
                <w:szCs w:val="24"/>
                <w:lang w:val="en-US" w:eastAsia="zh-CN"/>
              </w:rPr>
            </w:pPr>
          </w:p>
          <w:p w14:paraId="2354DEA0">
            <w:pPr>
              <w:spacing w:line="302" w:lineRule="auto"/>
              <w:jc w:val="left"/>
              <w:rPr>
                <w:rFonts w:hint="eastAsia" w:ascii="仿宋_GB2312" w:hAnsi="仿宋_GB2312" w:eastAsia="仿宋_GB2312" w:cs="仿宋_GB2312"/>
                <w:sz w:val="24"/>
                <w:szCs w:val="24"/>
                <w:lang w:val="en-US" w:eastAsia="zh-CN"/>
              </w:rPr>
            </w:pPr>
          </w:p>
          <w:p w14:paraId="1584C802">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(本列数据的勾稽关系为：第一项加第 二项之和，等于第三项加第四项之和)</w:t>
            </w:r>
          </w:p>
        </w:tc>
        <w:tc>
          <w:tcPr>
            <w:tcW w:w="5141" w:type="dxa"/>
            <w:gridSpan w:val="7"/>
            <w:vAlign w:val="top"/>
          </w:tcPr>
          <w:p w14:paraId="204C0EC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申请人情况</w:t>
            </w:r>
          </w:p>
        </w:tc>
      </w:tr>
      <w:tr w14:paraId="5DA88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080" w:type="dxa"/>
            <w:gridSpan w:val="3"/>
            <w:vMerge w:val="continue"/>
            <w:tcBorders>
              <w:top w:val="nil"/>
              <w:bottom w:val="nil"/>
            </w:tcBorders>
            <w:vAlign w:val="top"/>
          </w:tcPr>
          <w:p w14:paraId="216BA2B5">
            <w:pPr>
              <w:spacing w:line="302" w:lineRule="auto"/>
              <w:jc w:val="left"/>
              <w:rPr>
                <w:rFonts w:hint="eastAsia" w:ascii="仿宋_GB2312" w:hAnsi="仿宋_GB2312" w:eastAsia="仿宋_GB2312" w:cs="仿宋_GB2312"/>
                <w:sz w:val="24"/>
                <w:szCs w:val="24"/>
                <w:lang w:val="en-US" w:eastAsia="zh-CN"/>
              </w:rPr>
            </w:pPr>
          </w:p>
        </w:tc>
        <w:tc>
          <w:tcPr>
            <w:tcW w:w="583" w:type="dxa"/>
            <w:vMerge w:val="restart"/>
            <w:tcBorders>
              <w:bottom w:val="nil"/>
            </w:tcBorders>
            <w:vAlign w:val="top"/>
          </w:tcPr>
          <w:p w14:paraId="5AA777E6">
            <w:pPr>
              <w:spacing w:line="302" w:lineRule="auto"/>
              <w:jc w:val="center"/>
              <w:rPr>
                <w:rFonts w:hint="eastAsia" w:ascii="仿宋_GB2312" w:hAnsi="仿宋_GB2312" w:eastAsia="仿宋_GB2312" w:cs="仿宋_GB2312"/>
                <w:sz w:val="24"/>
                <w:szCs w:val="24"/>
                <w:lang w:val="en-US" w:eastAsia="zh-CN"/>
              </w:rPr>
            </w:pPr>
          </w:p>
          <w:p w14:paraId="3473873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自</w:t>
            </w:r>
          </w:p>
          <w:p w14:paraId="4D32696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然</w:t>
            </w:r>
          </w:p>
          <w:p w14:paraId="0DB9CD87">
            <w:pPr>
              <w:spacing w:line="302" w:lineRule="auto"/>
              <w:jc w:val="cente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人</w:t>
            </w:r>
          </w:p>
        </w:tc>
        <w:tc>
          <w:tcPr>
            <w:tcW w:w="3773" w:type="dxa"/>
            <w:gridSpan w:val="5"/>
            <w:vAlign w:val="top"/>
          </w:tcPr>
          <w:p w14:paraId="4295A3B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法人或其他组织</w:t>
            </w:r>
          </w:p>
        </w:tc>
        <w:tc>
          <w:tcPr>
            <w:tcW w:w="785" w:type="dxa"/>
            <w:vMerge w:val="restart"/>
            <w:tcBorders>
              <w:bottom w:val="nil"/>
            </w:tcBorders>
            <w:vAlign w:val="top"/>
          </w:tcPr>
          <w:p w14:paraId="4C8982EA">
            <w:pPr>
              <w:spacing w:line="302" w:lineRule="auto"/>
              <w:jc w:val="center"/>
              <w:rPr>
                <w:rFonts w:hint="eastAsia" w:ascii="仿宋_GB2312" w:hAnsi="仿宋_GB2312" w:eastAsia="仿宋_GB2312" w:cs="仿宋_GB2312"/>
                <w:sz w:val="24"/>
                <w:szCs w:val="24"/>
                <w:lang w:val="en-US" w:eastAsia="zh-CN"/>
              </w:rPr>
            </w:pPr>
          </w:p>
          <w:p w14:paraId="23C61FB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总计</w:t>
            </w:r>
          </w:p>
        </w:tc>
      </w:tr>
      <w:tr w14:paraId="2BC80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8" w:hRule="atLeast"/>
        </w:trPr>
        <w:tc>
          <w:tcPr>
            <w:tcW w:w="4080" w:type="dxa"/>
            <w:gridSpan w:val="3"/>
            <w:vMerge w:val="continue"/>
            <w:tcBorders>
              <w:top w:val="nil"/>
            </w:tcBorders>
            <w:vAlign w:val="top"/>
          </w:tcPr>
          <w:p w14:paraId="6807AC80">
            <w:pPr>
              <w:spacing w:line="302" w:lineRule="auto"/>
              <w:jc w:val="left"/>
              <w:rPr>
                <w:rFonts w:hint="eastAsia" w:ascii="仿宋_GB2312" w:hAnsi="仿宋_GB2312" w:eastAsia="仿宋_GB2312" w:cs="仿宋_GB2312"/>
                <w:sz w:val="24"/>
                <w:szCs w:val="24"/>
                <w:lang w:val="en-US" w:eastAsia="zh-CN"/>
              </w:rPr>
            </w:pPr>
          </w:p>
        </w:tc>
        <w:tc>
          <w:tcPr>
            <w:tcW w:w="583" w:type="dxa"/>
            <w:vMerge w:val="continue"/>
            <w:tcBorders>
              <w:top w:val="nil"/>
            </w:tcBorders>
            <w:vAlign w:val="top"/>
          </w:tcPr>
          <w:p w14:paraId="48E9355D">
            <w:pPr>
              <w:spacing w:line="302" w:lineRule="auto"/>
              <w:jc w:val="center"/>
              <w:rPr>
                <w:rFonts w:hint="eastAsia" w:ascii="仿宋_GB2312" w:hAnsi="仿宋_GB2312" w:eastAsia="仿宋_GB2312" w:cs="仿宋_GB2312"/>
                <w:sz w:val="24"/>
                <w:szCs w:val="24"/>
                <w:lang w:val="en-US" w:eastAsia="zh-CN"/>
              </w:rPr>
            </w:pPr>
          </w:p>
        </w:tc>
        <w:tc>
          <w:tcPr>
            <w:tcW w:w="527" w:type="dxa"/>
            <w:vAlign w:val="top"/>
          </w:tcPr>
          <w:p w14:paraId="6B2838D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商业 企业</w:t>
            </w:r>
          </w:p>
        </w:tc>
        <w:tc>
          <w:tcPr>
            <w:tcW w:w="779" w:type="dxa"/>
            <w:vAlign w:val="top"/>
          </w:tcPr>
          <w:p w14:paraId="2F03CAA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科研 机构</w:t>
            </w:r>
          </w:p>
        </w:tc>
        <w:tc>
          <w:tcPr>
            <w:tcW w:w="899" w:type="dxa"/>
            <w:vAlign w:val="top"/>
          </w:tcPr>
          <w:p w14:paraId="6A031E0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社会公 益组织</w:t>
            </w:r>
          </w:p>
        </w:tc>
        <w:tc>
          <w:tcPr>
            <w:tcW w:w="919" w:type="dxa"/>
            <w:vAlign w:val="top"/>
          </w:tcPr>
          <w:p w14:paraId="63BB30C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法律服 务机构</w:t>
            </w:r>
          </w:p>
        </w:tc>
        <w:tc>
          <w:tcPr>
            <w:tcW w:w="649" w:type="dxa"/>
            <w:vAlign w:val="top"/>
          </w:tcPr>
          <w:p w14:paraId="44F6CE1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其他</w:t>
            </w:r>
          </w:p>
        </w:tc>
        <w:tc>
          <w:tcPr>
            <w:tcW w:w="785" w:type="dxa"/>
            <w:vMerge w:val="continue"/>
            <w:tcBorders>
              <w:top w:val="nil"/>
            </w:tcBorders>
            <w:vAlign w:val="top"/>
          </w:tcPr>
          <w:p w14:paraId="78936F02">
            <w:pPr>
              <w:spacing w:line="302" w:lineRule="auto"/>
              <w:jc w:val="center"/>
              <w:rPr>
                <w:rFonts w:hint="eastAsia" w:ascii="仿宋_GB2312" w:hAnsi="仿宋_GB2312" w:eastAsia="仿宋_GB2312" w:cs="仿宋_GB2312"/>
                <w:sz w:val="24"/>
                <w:szCs w:val="24"/>
                <w:lang w:val="en-US" w:eastAsia="zh-CN"/>
              </w:rPr>
            </w:pPr>
          </w:p>
        </w:tc>
      </w:tr>
      <w:tr w14:paraId="19D30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080" w:type="dxa"/>
            <w:gridSpan w:val="3"/>
            <w:vAlign w:val="top"/>
          </w:tcPr>
          <w:p w14:paraId="1BB749DE">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一、本年新收政府信息公开申请数量</w:t>
            </w:r>
          </w:p>
        </w:tc>
        <w:tc>
          <w:tcPr>
            <w:tcW w:w="583" w:type="dxa"/>
            <w:vAlign w:val="top"/>
          </w:tcPr>
          <w:p w14:paraId="37548CA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4EB46DB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5B53CF8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2759676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6BCED6C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449E1761">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2FD5A96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480B96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trPr>
        <w:tc>
          <w:tcPr>
            <w:tcW w:w="4080" w:type="dxa"/>
            <w:gridSpan w:val="3"/>
            <w:vAlign w:val="top"/>
          </w:tcPr>
          <w:p w14:paraId="579F097C">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二、上年结转政府信息公开申请数量</w:t>
            </w:r>
          </w:p>
        </w:tc>
        <w:tc>
          <w:tcPr>
            <w:tcW w:w="583" w:type="dxa"/>
            <w:vAlign w:val="top"/>
          </w:tcPr>
          <w:p w14:paraId="3A67CA7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6104B5F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24BD92D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0B75EED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2B21CDE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4E38D69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00BA092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27C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595" w:type="dxa"/>
            <w:vAlign w:val="top"/>
          </w:tcPr>
          <w:p w14:paraId="19CC793D">
            <w:pPr>
              <w:spacing w:line="302" w:lineRule="auto"/>
              <w:jc w:val="left"/>
              <w:rPr>
                <w:rFonts w:hint="eastAsia" w:ascii="仿宋_GB2312" w:hAnsi="仿宋_GB2312" w:eastAsia="仿宋_GB2312" w:cs="仿宋_GB2312"/>
                <w:sz w:val="24"/>
                <w:szCs w:val="24"/>
                <w:lang w:val="en-US" w:eastAsia="zh-CN"/>
              </w:rPr>
            </w:pPr>
          </w:p>
        </w:tc>
        <w:tc>
          <w:tcPr>
            <w:tcW w:w="3485" w:type="dxa"/>
            <w:gridSpan w:val="2"/>
            <w:vAlign w:val="top"/>
          </w:tcPr>
          <w:p w14:paraId="3E9517F9">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(一)予以公开</w:t>
            </w:r>
          </w:p>
        </w:tc>
        <w:tc>
          <w:tcPr>
            <w:tcW w:w="583" w:type="dxa"/>
            <w:vAlign w:val="top"/>
          </w:tcPr>
          <w:p w14:paraId="0459782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592391E1">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3ABB94A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7D956B7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1DD8460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6B29124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0F7BA55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08B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595" w:type="dxa"/>
            <w:vMerge w:val="restart"/>
            <w:tcBorders>
              <w:bottom w:val="nil"/>
            </w:tcBorders>
            <w:vAlign w:val="top"/>
          </w:tcPr>
          <w:p w14:paraId="37A96849">
            <w:pPr>
              <w:spacing w:line="302" w:lineRule="auto"/>
              <w:jc w:val="left"/>
              <w:rPr>
                <w:rFonts w:hint="eastAsia" w:ascii="仿宋_GB2312" w:hAnsi="仿宋_GB2312" w:eastAsia="仿宋_GB2312" w:cs="仿宋_GB2312"/>
                <w:sz w:val="24"/>
                <w:szCs w:val="24"/>
                <w:lang w:val="en-US" w:eastAsia="zh-CN"/>
              </w:rPr>
            </w:pPr>
          </w:p>
          <w:p w14:paraId="1257A1D2">
            <w:pPr>
              <w:spacing w:line="302" w:lineRule="auto"/>
              <w:jc w:val="left"/>
              <w:rPr>
                <w:rFonts w:hint="eastAsia" w:ascii="仿宋_GB2312" w:hAnsi="仿宋_GB2312" w:eastAsia="仿宋_GB2312" w:cs="仿宋_GB2312"/>
                <w:sz w:val="24"/>
                <w:szCs w:val="24"/>
                <w:lang w:val="en-US" w:eastAsia="zh-CN"/>
              </w:rPr>
            </w:pPr>
          </w:p>
          <w:p w14:paraId="7EB2EA85">
            <w:pPr>
              <w:spacing w:line="302" w:lineRule="auto"/>
              <w:jc w:val="left"/>
              <w:rPr>
                <w:rFonts w:hint="eastAsia" w:ascii="仿宋_GB2312" w:hAnsi="仿宋_GB2312" w:eastAsia="仿宋_GB2312" w:cs="仿宋_GB2312"/>
                <w:sz w:val="24"/>
                <w:szCs w:val="24"/>
                <w:lang w:val="en-US" w:eastAsia="zh-CN"/>
              </w:rPr>
            </w:pPr>
          </w:p>
          <w:p w14:paraId="2E8B0DD1">
            <w:pPr>
              <w:spacing w:line="302" w:lineRule="auto"/>
              <w:jc w:val="left"/>
              <w:rPr>
                <w:rFonts w:hint="eastAsia" w:ascii="仿宋_GB2312" w:hAnsi="仿宋_GB2312" w:eastAsia="仿宋_GB2312" w:cs="仿宋_GB2312"/>
                <w:sz w:val="24"/>
                <w:szCs w:val="24"/>
                <w:lang w:val="en-US" w:eastAsia="zh-CN"/>
              </w:rPr>
            </w:pPr>
          </w:p>
          <w:p w14:paraId="6EE478C0">
            <w:pPr>
              <w:spacing w:line="302" w:lineRule="auto"/>
              <w:jc w:val="left"/>
              <w:rPr>
                <w:rFonts w:hint="eastAsia" w:ascii="仿宋_GB2312" w:hAnsi="仿宋_GB2312" w:eastAsia="仿宋_GB2312" w:cs="仿宋_GB2312"/>
                <w:sz w:val="24"/>
                <w:szCs w:val="24"/>
                <w:lang w:val="en-US" w:eastAsia="zh-CN"/>
              </w:rPr>
            </w:pPr>
          </w:p>
          <w:p w14:paraId="4DABB801">
            <w:pPr>
              <w:spacing w:line="302" w:lineRule="auto"/>
              <w:jc w:val="left"/>
              <w:rPr>
                <w:rFonts w:hint="eastAsia" w:ascii="仿宋_GB2312" w:hAnsi="仿宋_GB2312" w:eastAsia="仿宋_GB2312" w:cs="仿宋_GB2312"/>
                <w:sz w:val="24"/>
                <w:szCs w:val="24"/>
                <w:lang w:val="en-US" w:eastAsia="zh-CN"/>
              </w:rPr>
            </w:pPr>
          </w:p>
          <w:p w14:paraId="4B85FD07">
            <w:pPr>
              <w:spacing w:line="302" w:lineRule="auto"/>
              <w:jc w:val="left"/>
              <w:rPr>
                <w:rFonts w:hint="eastAsia" w:ascii="仿宋_GB2312" w:hAnsi="仿宋_GB2312" w:eastAsia="仿宋_GB2312" w:cs="仿宋_GB2312"/>
                <w:sz w:val="24"/>
                <w:szCs w:val="24"/>
                <w:lang w:val="en-US" w:eastAsia="zh-CN"/>
              </w:rPr>
            </w:pPr>
          </w:p>
          <w:p w14:paraId="30EFA64A">
            <w:pPr>
              <w:spacing w:line="302" w:lineRule="auto"/>
              <w:jc w:val="left"/>
              <w:rPr>
                <w:rFonts w:hint="eastAsia" w:ascii="仿宋_GB2312" w:hAnsi="仿宋_GB2312" w:eastAsia="仿宋_GB2312" w:cs="仿宋_GB2312"/>
                <w:sz w:val="24"/>
                <w:szCs w:val="24"/>
                <w:lang w:val="en-US" w:eastAsia="zh-CN"/>
              </w:rPr>
            </w:pPr>
          </w:p>
          <w:p w14:paraId="0F685B70">
            <w:pPr>
              <w:spacing w:line="302" w:lineRule="auto"/>
              <w:jc w:val="left"/>
              <w:rPr>
                <w:rFonts w:hint="eastAsia" w:ascii="仿宋_GB2312" w:hAnsi="仿宋_GB2312" w:eastAsia="仿宋_GB2312" w:cs="仿宋_GB2312"/>
                <w:sz w:val="24"/>
                <w:szCs w:val="24"/>
                <w:lang w:val="en-US" w:eastAsia="zh-CN"/>
              </w:rPr>
            </w:pPr>
          </w:p>
          <w:p w14:paraId="67302498">
            <w:pPr>
              <w:spacing w:line="302" w:lineRule="auto"/>
              <w:jc w:val="left"/>
              <w:rPr>
                <w:rFonts w:hint="eastAsia" w:ascii="仿宋_GB2312" w:hAnsi="仿宋_GB2312" w:eastAsia="仿宋_GB2312" w:cs="仿宋_GB2312"/>
                <w:sz w:val="24"/>
                <w:szCs w:val="24"/>
                <w:lang w:val="en-US" w:eastAsia="zh-CN"/>
              </w:rPr>
            </w:pPr>
          </w:p>
          <w:p w14:paraId="7E059969">
            <w:pPr>
              <w:spacing w:line="302" w:lineRule="auto"/>
              <w:jc w:val="left"/>
              <w:rPr>
                <w:rFonts w:hint="eastAsia" w:ascii="仿宋_GB2312" w:hAnsi="仿宋_GB2312" w:eastAsia="仿宋_GB2312" w:cs="仿宋_GB2312"/>
                <w:sz w:val="24"/>
                <w:szCs w:val="24"/>
                <w:lang w:val="en-US" w:eastAsia="zh-CN"/>
              </w:rPr>
            </w:pPr>
          </w:p>
          <w:p w14:paraId="39D8F3E8">
            <w:pPr>
              <w:spacing w:line="302" w:lineRule="auto"/>
              <w:jc w:val="left"/>
              <w:rPr>
                <w:rFonts w:hint="eastAsia" w:ascii="仿宋_GB2312" w:hAnsi="仿宋_GB2312" w:eastAsia="仿宋_GB2312" w:cs="仿宋_GB2312"/>
                <w:sz w:val="24"/>
                <w:szCs w:val="24"/>
                <w:lang w:val="en-US" w:eastAsia="zh-CN"/>
              </w:rPr>
            </w:pPr>
          </w:p>
          <w:p w14:paraId="0584620A">
            <w:pPr>
              <w:spacing w:line="302" w:lineRule="auto"/>
              <w:jc w:val="left"/>
              <w:rPr>
                <w:rFonts w:hint="eastAsia" w:ascii="仿宋_GB2312" w:hAnsi="仿宋_GB2312" w:eastAsia="仿宋_GB2312" w:cs="仿宋_GB2312"/>
                <w:sz w:val="24"/>
                <w:szCs w:val="24"/>
                <w:lang w:val="en-US" w:eastAsia="zh-CN"/>
              </w:rPr>
            </w:pPr>
          </w:p>
          <w:p w14:paraId="263A9605">
            <w:pPr>
              <w:spacing w:line="302" w:lineRule="auto"/>
              <w:jc w:val="left"/>
              <w:rPr>
                <w:rFonts w:hint="eastAsia" w:ascii="仿宋_GB2312" w:hAnsi="仿宋_GB2312" w:eastAsia="仿宋_GB2312" w:cs="仿宋_GB2312"/>
                <w:sz w:val="24"/>
                <w:szCs w:val="24"/>
                <w:lang w:val="en-US" w:eastAsia="zh-CN"/>
              </w:rPr>
            </w:pPr>
          </w:p>
          <w:p w14:paraId="39DC61A0">
            <w:pPr>
              <w:spacing w:line="302" w:lineRule="auto"/>
              <w:jc w:val="left"/>
              <w:rPr>
                <w:rFonts w:hint="eastAsia" w:ascii="仿宋_GB2312" w:hAnsi="仿宋_GB2312" w:eastAsia="仿宋_GB2312" w:cs="仿宋_GB2312"/>
                <w:sz w:val="24"/>
                <w:szCs w:val="24"/>
                <w:lang w:val="en-US" w:eastAsia="zh-CN"/>
              </w:rPr>
            </w:pPr>
          </w:p>
          <w:p w14:paraId="25CA6DFE">
            <w:pPr>
              <w:spacing w:line="302" w:lineRule="auto"/>
              <w:jc w:val="left"/>
              <w:rPr>
                <w:rFonts w:hint="eastAsia" w:ascii="仿宋_GB2312" w:hAnsi="仿宋_GB2312" w:eastAsia="仿宋_GB2312" w:cs="仿宋_GB2312"/>
                <w:sz w:val="24"/>
                <w:szCs w:val="24"/>
                <w:lang w:val="en-US" w:eastAsia="zh-CN"/>
              </w:rPr>
            </w:pPr>
          </w:p>
          <w:p w14:paraId="07EEEA85">
            <w:pPr>
              <w:spacing w:line="302" w:lineRule="auto"/>
              <w:jc w:val="left"/>
              <w:rPr>
                <w:rFonts w:hint="eastAsia" w:ascii="仿宋_GB2312" w:hAnsi="仿宋_GB2312" w:eastAsia="仿宋_GB2312" w:cs="仿宋_GB2312"/>
                <w:sz w:val="24"/>
                <w:szCs w:val="24"/>
                <w:lang w:val="en-US" w:eastAsia="zh-CN"/>
              </w:rPr>
            </w:pPr>
          </w:p>
          <w:p w14:paraId="78DC93A6">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三 、 本   年   度   办   理   结   果</w:t>
            </w:r>
          </w:p>
        </w:tc>
        <w:tc>
          <w:tcPr>
            <w:tcW w:w="3485" w:type="dxa"/>
            <w:gridSpan w:val="2"/>
            <w:vAlign w:val="top"/>
          </w:tcPr>
          <w:p w14:paraId="5F4B9187">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(二)部分公开(区分处理的，</w:t>
            </w:r>
          </w:p>
          <w:p w14:paraId="243FD3D3">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只计这一情形，不计其他情形)</w:t>
            </w:r>
          </w:p>
        </w:tc>
        <w:tc>
          <w:tcPr>
            <w:tcW w:w="583" w:type="dxa"/>
            <w:vAlign w:val="top"/>
          </w:tcPr>
          <w:p w14:paraId="1ED6E75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427C17C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7CD3C47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78336EA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05ACE34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610336F1">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004EEDC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40496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95" w:type="dxa"/>
            <w:vMerge w:val="continue"/>
            <w:tcBorders>
              <w:top w:val="nil"/>
              <w:bottom w:val="nil"/>
            </w:tcBorders>
            <w:vAlign w:val="top"/>
          </w:tcPr>
          <w:p w14:paraId="74C57C85">
            <w:pPr>
              <w:jc w:val="left"/>
              <w:rPr>
                <w:rFonts w:hint="eastAsia" w:ascii="仿宋_GB2312" w:hAnsi="仿宋_GB2312" w:eastAsia="仿宋_GB2312" w:cs="仿宋_GB2312"/>
                <w:sz w:val="21"/>
              </w:rPr>
            </w:pPr>
          </w:p>
        </w:tc>
        <w:tc>
          <w:tcPr>
            <w:tcW w:w="710" w:type="dxa"/>
            <w:vMerge w:val="restart"/>
            <w:tcBorders>
              <w:bottom w:val="nil"/>
            </w:tcBorders>
            <w:vAlign w:val="top"/>
          </w:tcPr>
          <w:p w14:paraId="12A8ED74">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三 ) 不予</w:t>
            </w:r>
          </w:p>
          <w:p w14:paraId="4E8B4C1A">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公开</w:t>
            </w:r>
          </w:p>
        </w:tc>
        <w:tc>
          <w:tcPr>
            <w:tcW w:w="2775" w:type="dxa"/>
            <w:vAlign w:val="top"/>
          </w:tcPr>
          <w:p w14:paraId="47C16886">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1.属于国家秘密</w:t>
            </w:r>
          </w:p>
        </w:tc>
        <w:tc>
          <w:tcPr>
            <w:tcW w:w="583" w:type="dxa"/>
            <w:vAlign w:val="top"/>
          </w:tcPr>
          <w:p w14:paraId="13B4FFB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7C80837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75DEA45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48AD381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332D123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32465BE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2B309E8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DCD8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595" w:type="dxa"/>
            <w:vMerge w:val="continue"/>
            <w:tcBorders>
              <w:top w:val="nil"/>
              <w:bottom w:val="nil"/>
            </w:tcBorders>
            <w:vAlign w:val="top"/>
          </w:tcPr>
          <w:p w14:paraId="7B248648">
            <w:pPr>
              <w:jc w:val="left"/>
              <w:rPr>
                <w:rFonts w:hint="eastAsia" w:ascii="仿宋_GB2312" w:hAnsi="仿宋_GB2312" w:eastAsia="仿宋_GB2312" w:cs="仿宋_GB2312"/>
                <w:sz w:val="21"/>
                <w:lang w:eastAsia="zh-CN"/>
              </w:rPr>
            </w:pPr>
            <w:r>
              <w:rPr>
                <w:rFonts w:hint="eastAsia" w:ascii="仿宋_GB2312" w:hAnsi="仿宋_GB2312" w:eastAsia="仿宋_GB2312" w:cs="仿宋_GB2312"/>
                <w:sz w:val="21"/>
                <w:lang w:eastAsia="zh-CN"/>
              </w:rPr>
              <w:t>0</w:t>
            </w:r>
          </w:p>
        </w:tc>
        <w:tc>
          <w:tcPr>
            <w:tcW w:w="710" w:type="dxa"/>
            <w:vMerge w:val="continue"/>
            <w:tcBorders>
              <w:top w:val="nil"/>
              <w:bottom w:val="nil"/>
            </w:tcBorders>
            <w:vAlign w:val="top"/>
          </w:tcPr>
          <w:p w14:paraId="10C01261">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69FD03FD">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2.其他法律行政法规禁 止公开</w:t>
            </w:r>
          </w:p>
        </w:tc>
        <w:tc>
          <w:tcPr>
            <w:tcW w:w="583" w:type="dxa"/>
            <w:vAlign w:val="top"/>
          </w:tcPr>
          <w:p w14:paraId="056F4D3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303D77C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5C00C97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4859C00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6F73309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6FD155F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64C2906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19BF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595" w:type="dxa"/>
            <w:vMerge w:val="continue"/>
            <w:tcBorders>
              <w:top w:val="nil"/>
              <w:bottom w:val="nil"/>
            </w:tcBorders>
            <w:vAlign w:val="top"/>
          </w:tcPr>
          <w:p w14:paraId="7DDBA791">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57755600">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7C42B4C4">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3.危及“三安全一稳定”</w:t>
            </w:r>
          </w:p>
        </w:tc>
        <w:tc>
          <w:tcPr>
            <w:tcW w:w="583" w:type="dxa"/>
            <w:vAlign w:val="top"/>
          </w:tcPr>
          <w:p w14:paraId="05C4CB0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6B668C4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58F14C7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24461CD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3EC28DE1">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0E8510A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18998A2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31D1D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595" w:type="dxa"/>
            <w:vMerge w:val="continue"/>
            <w:tcBorders>
              <w:top w:val="nil"/>
              <w:bottom w:val="nil"/>
            </w:tcBorders>
            <w:vAlign w:val="top"/>
          </w:tcPr>
          <w:p w14:paraId="6C936AC0">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333144D1">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2BC5DE6E">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4.保护第三方合法权益</w:t>
            </w:r>
          </w:p>
        </w:tc>
        <w:tc>
          <w:tcPr>
            <w:tcW w:w="583" w:type="dxa"/>
            <w:vAlign w:val="top"/>
          </w:tcPr>
          <w:p w14:paraId="6B4B7BE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0F4A601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36598E5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20D1C42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17B8F78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34671B8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30DC910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F0AB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595" w:type="dxa"/>
            <w:vMerge w:val="continue"/>
            <w:tcBorders>
              <w:top w:val="nil"/>
              <w:bottom w:val="nil"/>
            </w:tcBorders>
            <w:vAlign w:val="top"/>
          </w:tcPr>
          <w:p w14:paraId="40F4912B">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35B4E710">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54DE5164">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5.属于三类内部事务信 息</w:t>
            </w:r>
          </w:p>
        </w:tc>
        <w:tc>
          <w:tcPr>
            <w:tcW w:w="583" w:type="dxa"/>
            <w:vAlign w:val="top"/>
          </w:tcPr>
          <w:p w14:paraId="6A1864F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3FA3751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6DC5B9F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6919E63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7EF9AA5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1B9352B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4191766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54CF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595" w:type="dxa"/>
            <w:vMerge w:val="continue"/>
            <w:tcBorders>
              <w:top w:val="nil"/>
              <w:bottom w:val="nil"/>
            </w:tcBorders>
            <w:vAlign w:val="top"/>
          </w:tcPr>
          <w:p w14:paraId="1D9C3BBC">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63D4C410">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0E3AE7CF">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6.属于四类过程性信息</w:t>
            </w:r>
          </w:p>
        </w:tc>
        <w:tc>
          <w:tcPr>
            <w:tcW w:w="583" w:type="dxa"/>
            <w:shd w:val="clear" w:color="auto" w:fill="auto"/>
            <w:vAlign w:val="top"/>
          </w:tcPr>
          <w:p w14:paraId="26639EC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6463CF5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7B0E8B0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6D1122C1">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6BA5BE4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0ECF908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6817627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8851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 w:hRule="atLeast"/>
        </w:trPr>
        <w:tc>
          <w:tcPr>
            <w:tcW w:w="595" w:type="dxa"/>
            <w:vMerge w:val="continue"/>
            <w:tcBorders>
              <w:top w:val="nil"/>
              <w:bottom w:val="nil"/>
            </w:tcBorders>
            <w:vAlign w:val="top"/>
          </w:tcPr>
          <w:p w14:paraId="1C9B262D">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12893990">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491C1B4F">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7.属于行政执法案卷</w:t>
            </w:r>
          </w:p>
        </w:tc>
        <w:tc>
          <w:tcPr>
            <w:tcW w:w="583" w:type="dxa"/>
            <w:shd w:val="clear" w:color="auto" w:fill="auto"/>
            <w:vAlign w:val="top"/>
          </w:tcPr>
          <w:p w14:paraId="564B357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29F36C1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1857213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04C1F3C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3ED1A3F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786A667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54A457D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C9D3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595" w:type="dxa"/>
            <w:vMerge w:val="continue"/>
            <w:tcBorders>
              <w:top w:val="nil"/>
              <w:bottom w:val="nil"/>
            </w:tcBorders>
            <w:vAlign w:val="top"/>
          </w:tcPr>
          <w:p w14:paraId="0F633C1D">
            <w:pPr>
              <w:jc w:val="left"/>
              <w:rPr>
                <w:rFonts w:hint="eastAsia" w:ascii="仿宋_GB2312" w:hAnsi="仿宋_GB2312" w:eastAsia="仿宋_GB2312" w:cs="仿宋_GB2312"/>
                <w:sz w:val="21"/>
              </w:rPr>
            </w:pPr>
          </w:p>
        </w:tc>
        <w:tc>
          <w:tcPr>
            <w:tcW w:w="710" w:type="dxa"/>
            <w:vMerge w:val="continue"/>
            <w:tcBorders>
              <w:top w:val="nil"/>
            </w:tcBorders>
            <w:vAlign w:val="top"/>
          </w:tcPr>
          <w:p w14:paraId="64CA86F2">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38526200">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8.属于行政查询事项</w:t>
            </w:r>
          </w:p>
        </w:tc>
        <w:tc>
          <w:tcPr>
            <w:tcW w:w="583" w:type="dxa"/>
            <w:shd w:val="clear" w:color="auto" w:fill="auto"/>
            <w:vAlign w:val="top"/>
          </w:tcPr>
          <w:p w14:paraId="791CA42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6D5908E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1D82AAC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6CEF73E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12639CC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1DC0ADD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4DB77CE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DED0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595" w:type="dxa"/>
            <w:vMerge w:val="continue"/>
            <w:tcBorders>
              <w:top w:val="nil"/>
              <w:bottom w:val="nil"/>
            </w:tcBorders>
            <w:vAlign w:val="top"/>
          </w:tcPr>
          <w:p w14:paraId="7ED8E556">
            <w:pPr>
              <w:jc w:val="left"/>
              <w:rPr>
                <w:rFonts w:hint="eastAsia" w:ascii="仿宋_GB2312" w:hAnsi="仿宋_GB2312" w:eastAsia="仿宋_GB2312" w:cs="仿宋_GB2312"/>
                <w:sz w:val="21"/>
              </w:rPr>
            </w:pPr>
          </w:p>
        </w:tc>
        <w:tc>
          <w:tcPr>
            <w:tcW w:w="710" w:type="dxa"/>
            <w:vMerge w:val="restart"/>
            <w:tcBorders>
              <w:bottom w:val="nil"/>
            </w:tcBorders>
            <w:vAlign w:val="top"/>
          </w:tcPr>
          <w:p w14:paraId="5ABBAD07">
            <w:pPr>
              <w:spacing w:line="302" w:lineRule="auto"/>
              <w:jc w:val="left"/>
              <w:rPr>
                <w:rFonts w:hint="eastAsia" w:ascii="仿宋_GB2312" w:hAnsi="仿宋_GB2312" w:eastAsia="仿宋_GB2312" w:cs="仿宋_GB2312"/>
                <w:sz w:val="24"/>
                <w:szCs w:val="24"/>
                <w:lang w:val="en-US" w:eastAsia="zh-CN"/>
              </w:rPr>
            </w:pPr>
          </w:p>
          <w:p w14:paraId="75CD182E">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四 ) 无法</w:t>
            </w:r>
          </w:p>
          <w:p w14:paraId="2F557DDD">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提供</w:t>
            </w:r>
          </w:p>
        </w:tc>
        <w:tc>
          <w:tcPr>
            <w:tcW w:w="2775" w:type="dxa"/>
            <w:vAlign w:val="top"/>
          </w:tcPr>
          <w:p w14:paraId="47452806">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1.本机关不掌握相关政 府信息</w:t>
            </w:r>
          </w:p>
        </w:tc>
        <w:tc>
          <w:tcPr>
            <w:tcW w:w="583" w:type="dxa"/>
            <w:shd w:val="clear" w:color="auto" w:fill="auto"/>
            <w:vAlign w:val="top"/>
          </w:tcPr>
          <w:p w14:paraId="2B30793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12A875C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3BCBF94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6C9A25F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3ED20C4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6D5E478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0605673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DA1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95" w:type="dxa"/>
            <w:vMerge w:val="continue"/>
            <w:tcBorders>
              <w:top w:val="nil"/>
              <w:bottom w:val="nil"/>
            </w:tcBorders>
            <w:vAlign w:val="top"/>
          </w:tcPr>
          <w:p w14:paraId="01207E4E">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1DCD7714">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02F2ABAC">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2.没有现成信息需要另 行制作</w:t>
            </w:r>
          </w:p>
        </w:tc>
        <w:tc>
          <w:tcPr>
            <w:tcW w:w="583" w:type="dxa"/>
            <w:shd w:val="clear" w:color="auto" w:fill="auto"/>
            <w:vAlign w:val="top"/>
          </w:tcPr>
          <w:p w14:paraId="4714239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5A76E23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432F1C7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06311AA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54EF51F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0F55860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4877371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625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95" w:type="dxa"/>
            <w:vMerge w:val="continue"/>
            <w:tcBorders>
              <w:top w:val="nil"/>
              <w:bottom w:val="nil"/>
            </w:tcBorders>
            <w:vAlign w:val="top"/>
          </w:tcPr>
          <w:p w14:paraId="7F3A505F">
            <w:pPr>
              <w:jc w:val="left"/>
              <w:rPr>
                <w:rFonts w:hint="eastAsia" w:ascii="仿宋_GB2312" w:hAnsi="仿宋_GB2312" w:eastAsia="仿宋_GB2312" w:cs="仿宋_GB2312"/>
                <w:sz w:val="21"/>
              </w:rPr>
            </w:pPr>
          </w:p>
        </w:tc>
        <w:tc>
          <w:tcPr>
            <w:tcW w:w="710" w:type="dxa"/>
            <w:vMerge w:val="continue"/>
            <w:tcBorders>
              <w:top w:val="nil"/>
            </w:tcBorders>
            <w:vAlign w:val="top"/>
          </w:tcPr>
          <w:p w14:paraId="74BEB0AC">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22F92600">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3.补正后申请内容仍不 明确</w:t>
            </w:r>
          </w:p>
        </w:tc>
        <w:tc>
          <w:tcPr>
            <w:tcW w:w="583" w:type="dxa"/>
            <w:shd w:val="clear" w:color="auto" w:fill="auto"/>
            <w:vAlign w:val="top"/>
          </w:tcPr>
          <w:p w14:paraId="5029A39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4CCA8FC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668A07F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707FDB2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162F7F2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68F2A830">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4205AD7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2F3A4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595" w:type="dxa"/>
            <w:vMerge w:val="continue"/>
            <w:tcBorders>
              <w:top w:val="nil"/>
              <w:bottom w:val="nil"/>
            </w:tcBorders>
            <w:vAlign w:val="top"/>
          </w:tcPr>
          <w:p w14:paraId="6154FAF6">
            <w:pPr>
              <w:jc w:val="left"/>
              <w:rPr>
                <w:rFonts w:hint="eastAsia" w:ascii="仿宋_GB2312" w:hAnsi="仿宋_GB2312" w:eastAsia="仿宋_GB2312" w:cs="仿宋_GB2312"/>
                <w:sz w:val="21"/>
              </w:rPr>
            </w:pPr>
          </w:p>
        </w:tc>
        <w:tc>
          <w:tcPr>
            <w:tcW w:w="710" w:type="dxa"/>
            <w:vMerge w:val="restart"/>
            <w:tcBorders>
              <w:bottom w:val="nil"/>
            </w:tcBorders>
            <w:vAlign w:val="top"/>
          </w:tcPr>
          <w:p w14:paraId="3FCA9025">
            <w:pPr>
              <w:spacing w:line="302" w:lineRule="auto"/>
              <w:jc w:val="left"/>
              <w:rPr>
                <w:rFonts w:hint="eastAsia" w:ascii="仿宋_GB2312" w:hAnsi="仿宋_GB2312" w:eastAsia="仿宋_GB2312" w:cs="仿宋_GB2312"/>
                <w:sz w:val="24"/>
                <w:szCs w:val="24"/>
                <w:lang w:val="en-US" w:eastAsia="zh-CN"/>
              </w:rPr>
            </w:pPr>
          </w:p>
          <w:p w14:paraId="14EB3DBB">
            <w:pPr>
              <w:spacing w:line="302" w:lineRule="auto"/>
              <w:jc w:val="left"/>
              <w:rPr>
                <w:rFonts w:hint="eastAsia" w:ascii="仿宋_GB2312" w:hAnsi="仿宋_GB2312" w:eastAsia="仿宋_GB2312" w:cs="仿宋_GB2312"/>
                <w:sz w:val="24"/>
                <w:szCs w:val="24"/>
                <w:lang w:val="en-US" w:eastAsia="zh-CN"/>
              </w:rPr>
            </w:pPr>
          </w:p>
          <w:p w14:paraId="5B39BE05">
            <w:pPr>
              <w:spacing w:line="302" w:lineRule="auto"/>
              <w:jc w:val="left"/>
              <w:rPr>
                <w:rFonts w:hint="eastAsia" w:ascii="仿宋_GB2312" w:hAnsi="仿宋_GB2312" w:eastAsia="仿宋_GB2312" w:cs="仿宋_GB2312"/>
                <w:sz w:val="24"/>
                <w:szCs w:val="24"/>
                <w:lang w:val="en-US" w:eastAsia="zh-CN"/>
              </w:rPr>
            </w:pPr>
          </w:p>
          <w:p w14:paraId="311758F4">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五 ) 不予</w:t>
            </w:r>
          </w:p>
          <w:p w14:paraId="3CCFEE1C">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处理</w:t>
            </w:r>
          </w:p>
        </w:tc>
        <w:tc>
          <w:tcPr>
            <w:tcW w:w="2775" w:type="dxa"/>
            <w:vAlign w:val="top"/>
          </w:tcPr>
          <w:p w14:paraId="65464E9E">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1.信访举报投诉类申请</w:t>
            </w:r>
          </w:p>
        </w:tc>
        <w:tc>
          <w:tcPr>
            <w:tcW w:w="583" w:type="dxa"/>
            <w:shd w:val="clear" w:color="auto" w:fill="auto"/>
            <w:vAlign w:val="top"/>
          </w:tcPr>
          <w:p w14:paraId="0CAF3F5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09EDA5D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6CCE77F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68E7393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5522DF5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075593D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33E6722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77AE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95" w:type="dxa"/>
            <w:vMerge w:val="continue"/>
            <w:tcBorders>
              <w:top w:val="nil"/>
              <w:bottom w:val="nil"/>
            </w:tcBorders>
            <w:vAlign w:val="top"/>
          </w:tcPr>
          <w:p w14:paraId="42FE7313">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2AAA1CF0">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5B503CC6">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2.重复申请</w:t>
            </w:r>
          </w:p>
        </w:tc>
        <w:tc>
          <w:tcPr>
            <w:tcW w:w="583" w:type="dxa"/>
            <w:shd w:val="clear" w:color="auto" w:fill="auto"/>
            <w:vAlign w:val="top"/>
          </w:tcPr>
          <w:p w14:paraId="0F113A8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2E002E2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7B0DC53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1C43265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6DFE306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4A5E406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11A777E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009B50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595" w:type="dxa"/>
            <w:vMerge w:val="continue"/>
            <w:tcBorders>
              <w:top w:val="nil"/>
              <w:bottom w:val="nil"/>
            </w:tcBorders>
            <w:vAlign w:val="top"/>
          </w:tcPr>
          <w:p w14:paraId="4922D93A">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13F89675">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353378F1">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3.要求提供公开出版物</w:t>
            </w:r>
          </w:p>
        </w:tc>
        <w:tc>
          <w:tcPr>
            <w:tcW w:w="583" w:type="dxa"/>
            <w:shd w:val="clear" w:color="auto" w:fill="auto"/>
            <w:vAlign w:val="top"/>
          </w:tcPr>
          <w:p w14:paraId="60B25EA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4B0A943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25CBFBF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2E7B612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2635F7E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63104C1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15031B0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81E4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595" w:type="dxa"/>
            <w:vMerge w:val="continue"/>
            <w:tcBorders>
              <w:top w:val="nil"/>
              <w:bottom w:val="nil"/>
            </w:tcBorders>
            <w:vAlign w:val="top"/>
          </w:tcPr>
          <w:p w14:paraId="04197316">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7B2362DF">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0A29ABC0">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4.无正当理由大量反复 申请</w:t>
            </w:r>
          </w:p>
        </w:tc>
        <w:tc>
          <w:tcPr>
            <w:tcW w:w="583" w:type="dxa"/>
            <w:shd w:val="clear" w:color="auto" w:fill="auto"/>
            <w:vAlign w:val="top"/>
          </w:tcPr>
          <w:p w14:paraId="4C207E6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146CED6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63EA2EE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57FC00A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40F5ADB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29CA836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6317649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7616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595" w:type="dxa"/>
            <w:vMerge w:val="continue"/>
            <w:tcBorders>
              <w:top w:val="nil"/>
              <w:bottom w:val="nil"/>
            </w:tcBorders>
            <w:vAlign w:val="top"/>
          </w:tcPr>
          <w:p w14:paraId="7CFEA7C4">
            <w:pPr>
              <w:jc w:val="left"/>
              <w:rPr>
                <w:rFonts w:hint="eastAsia" w:ascii="仿宋_GB2312" w:hAnsi="仿宋_GB2312" w:eastAsia="仿宋_GB2312" w:cs="仿宋_GB2312"/>
                <w:sz w:val="21"/>
              </w:rPr>
            </w:pPr>
          </w:p>
        </w:tc>
        <w:tc>
          <w:tcPr>
            <w:tcW w:w="710" w:type="dxa"/>
            <w:vMerge w:val="continue"/>
            <w:tcBorders>
              <w:top w:val="nil"/>
            </w:tcBorders>
            <w:vAlign w:val="top"/>
          </w:tcPr>
          <w:p w14:paraId="1BBA2202">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299ED898">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5.要求行政机关确认或 重新出具已获取信息</w:t>
            </w:r>
          </w:p>
        </w:tc>
        <w:tc>
          <w:tcPr>
            <w:tcW w:w="583" w:type="dxa"/>
            <w:shd w:val="clear" w:color="auto" w:fill="auto"/>
            <w:vAlign w:val="top"/>
          </w:tcPr>
          <w:p w14:paraId="4AF084A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312E9A0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49A8135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6308E32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7286FE0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35C81CB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304CB5D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7785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595" w:type="dxa"/>
            <w:vMerge w:val="continue"/>
            <w:tcBorders>
              <w:top w:val="nil"/>
              <w:bottom w:val="nil"/>
            </w:tcBorders>
            <w:vAlign w:val="top"/>
          </w:tcPr>
          <w:p w14:paraId="2F3E8E96">
            <w:pPr>
              <w:jc w:val="left"/>
              <w:rPr>
                <w:rFonts w:hint="eastAsia" w:ascii="仿宋_GB2312" w:hAnsi="仿宋_GB2312" w:eastAsia="仿宋_GB2312" w:cs="仿宋_GB2312"/>
                <w:sz w:val="21"/>
              </w:rPr>
            </w:pPr>
          </w:p>
        </w:tc>
        <w:tc>
          <w:tcPr>
            <w:tcW w:w="710" w:type="dxa"/>
            <w:vMerge w:val="restart"/>
            <w:tcBorders>
              <w:bottom w:val="nil"/>
            </w:tcBorders>
            <w:vAlign w:val="top"/>
          </w:tcPr>
          <w:p w14:paraId="058E4810">
            <w:pPr>
              <w:spacing w:line="302" w:lineRule="auto"/>
              <w:jc w:val="left"/>
              <w:rPr>
                <w:rFonts w:hint="eastAsia" w:ascii="仿宋_GB2312" w:hAnsi="仿宋_GB2312" w:eastAsia="仿宋_GB2312" w:cs="仿宋_GB2312"/>
                <w:sz w:val="24"/>
                <w:szCs w:val="24"/>
                <w:lang w:val="en-US" w:eastAsia="zh-CN"/>
              </w:rPr>
            </w:pPr>
          </w:p>
          <w:p w14:paraId="47F14A05">
            <w:pPr>
              <w:spacing w:line="302" w:lineRule="auto"/>
              <w:jc w:val="left"/>
              <w:rPr>
                <w:rFonts w:hint="eastAsia" w:ascii="仿宋_GB2312" w:hAnsi="仿宋_GB2312" w:eastAsia="仿宋_GB2312" w:cs="仿宋_GB2312"/>
                <w:sz w:val="24"/>
                <w:szCs w:val="24"/>
                <w:lang w:val="en-US" w:eastAsia="zh-CN"/>
              </w:rPr>
            </w:pPr>
          </w:p>
          <w:p w14:paraId="02DE6B85">
            <w:pPr>
              <w:spacing w:line="302" w:lineRule="auto"/>
              <w:jc w:val="left"/>
              <w:rPr>
                <w:rFonts w:hint="eastAsia" w:ascii="仿宋_GB2312" w:hAnsi="仿宋_GB2312" w:eastAsia="仿宋_GB2312" w:cs="仿宋_GB2312"/>
                <w:sz w:val="24"/>
                <w:szCs w:val="24"/>
                <w:lang w:val="en-US" w:eastAsia="zh-CN"/>
              </w:rPr>
            </w:pPr>
          </w:p>
          <w:p w14:paraId="5EDB83B2">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六 ) 其他</w:t>
            </w:r>
          </w:p>
          <w:p w14:paraId="5B6EED9E">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处理</w:t>
            </w:r>
          </w:p>
        </w:tc>
        <w:tc>
          <w:tcPr>
            <w:tcW w:w="2775" w:type="dxa"/>
            <w:vAlign w:val="top"/>
          </w:tcPr>
          <w:p w14:paraId="08CFEA19">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1.申请人无正当理由逾 期不补正、行政机关不 再处理其政府信息公开 申请</w:t>
            </w:r>
          </w:p>
        </w:tc>
        <w:tc>
          <w:tcPr>
            <w:tcW w:w="583" w:type="dxa"/>
            <w:shd w:val="clear" w:color="auto" w:fill="auto"/>
            <w:vAlign w:val="top"/>
          </w:tcPr>
          <w:p w14:paraId="03929D4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2A0D110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6025548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0441D72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5A0768D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62F23E9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6A13A261">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4377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trPr>
        <w:tc>
          <w:tcPr>
            <w:tcW w:w="595" w:type="dxa"/>
            <w:vMerge w:val="continue"/>
            <w:tcBorders>
              <w:top w:val="nil"/>
              <w:bottom w:val="nil"/>
            </w:tcBorders>
            <w:vAlign w:val="top"/>
          </w:tcPr>
          <w:p w14:paraId="0D938786">
            <w:pPr>
              <w:jc w:val="left"/>
              <w:rPr>
                <w:rFonts w:hint="eastAsia" w:ascii="仿宋_GB2312" w:hAnsi="仿宋_GB2312" w:eastAsia="仿宋_GB2312" w:cs="仿宋_GB2312"/>
                <w:sz w:val="21"/>
              </w:rPr>
            </w:pPr>
          </w:p>
        </w:tc>
        <w:tc>
          <w:tcPr>
            <w:tcW w:w="710" w:type="dxa"/>
            <w:vMerge w:val="continue"/>
            <w:tcBorders>
              <w:top w:val="nil"/>
              <w:bottom w:val="nil"/>
            </w:tcBorders>
            <w:vAlign w:val="top"/>
          </w:tcPr>
          <w:p w14:paraId="1AF31770">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7FA60B65">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2.申请人逾期未按收费 通知要求缴纳费用、行 政机关不再处理其政府 信息公开申请</w:t>
            </w:r>
          </w:p>
        </w:tc>
        <w:tc>
          <w:tcPr>
            <w:tcW w:w="583" w:type="dxa"/>
            <w:shd w:val="clear" w:color="auto" w:fill="auto"/>
            <w:vAlign w:val="top"/>
          </w:tcPr>
          <w:p w14:paraId="4935E1C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3B33B02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108F282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35F5C0D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182DF9C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70EB6638">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242D9A4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55FEF2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595" w:type="dxa"/>
            <w:vMerge w:val="continue"/>
            <w:tcBorders>
              <w:top w:val="nil"/>
              <w:bottom w:val="nil"/>
            </w:tcBorders>
            <w:vAlign w:val="top"/>
          </w:tcPr>
          <w:p w14:paraId="1411DA39">
            <w:pPr>
              <w:jc w:val="left"/>
              <w:rPr>
                <w:rFonts w:hint="eastAsia" w:ascii="仿宋_GB2312" w:hAnsi="仿宋_GB2312" w:eastAsia="仿宋_GB2312" w:cs="仿宋_GB2312"/>
                <w:sz w:val="21"/>
              </w:rPr>
            </w:pPr>
          </w:p>
        </w:tc>
        <w:tc>
          <w:tcPr>
            <w:tcW w:w="710" w:type="dxa"/>
            <w:vMerge w:val="continue"/>
            <w:tcBorders>
              <w:top w:val="nil"/>
            </w:tcBorders>
            <w:vAlign w:val="top"/>
          </w:tcPr>
          <w:p w14:paraId="0BB89A63">
            <w:pPr>
              <w:spacing w:line="302" w:lineRule="auto"/>
              <w:jc w:val="left"/>
              <w:rPr>
                <w:rFonts w:hint="eastAsia" w:ascii="仿宋_GB2312" w:hAnsi="仿宋_GB2312" w:eastAsia="仿宋_GB2312" w:cs="仿宋_GB2312"/>
                <w:sz w:val="24"/>
                <w:szCs w:val="24"/>
                <w:lang w:val="en-US" w:eastAsia="zh-CN"/>
              </w:rPr>
            </w:pPr>
          </w:p>
        </w:tc>
        <w:tc>
          <w:tcPr>
            <w:tcW w:w="2775" w:type="dxa"/>
            <w:vAlign w:val="top"/>
          </w:tcPr>
          <w:p w14:paraId="595AB9AC">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3.其他</w:t>
            </w:r>
          </w:p>
        </w:tc>
        <w:tc>
          <w:tcPr>
            <w:tcW w:w="583" w:type="dxa"/>
            <w:shd w:val="clear" w:color="auto" w:fill="auto"/>
            <w:vAlign w:val="top"/>
          </w:tcPr>
          <w:p w14:paraId="2091C1A6">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shd w:val="clear" w:color="auto" w:fill="auto"/>
            <w:vAlign w:val="top"/>
          </w:tcPr>
          <w:p w14:paraId="3E7471F2">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shd w:val="clear" w:color="auto" w:fill="auto"/>
            <w:vAlign w:val="top"/>
          </w:tcPr>
          <w:p w14:paraId="0E09D72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shd w:val="clear" w:color="auto" w:fill="auto"/>
            <w:vAlign w:val="top"/>
          </w:tcPr>
          <w:p w14:paraId="03B72CE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shd w:val="clear" w:color="auto" w:fill="auto"/>
            <w:vAlign w:val="top"/>
          </w:tcPr>
          <w:p w14:paraId="5B6461CF">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shd w:val="clear" w:color="auto" w:fill="auto"/>
            <w:vAlign w:val="top"/>
          </w:tcPr>
          <w:p w14:paraId="5A094FC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shd w:val="clear" w:color="auto" w:fill="auto"/>
            <w:vAlign w:val="top"/>
          </w:tcPr>
          <w:p w14:paraId="586FB7B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6B88D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595" w:type="dxa"/>
            <w:vMerge w:val="continue"/>
            <w:tcBorders>
              <w:top w:val="nil"/>
            </w:tcBorders>
            <w:vAlign w:val="top"/>
          </w:tcPr>
          <w:p w14:paraId="31A72006">
            <w:pPr>
              <w:jc w:val="left"/>
              <w:rPr>
                <w:rFonts w:hint="eastAsia" w:ascii="仿宋_GB2312" w:hAnsi="仿宋_GB2312" w:eastAsia="仿宋_GB2312" w:cs="仿宋_GB2312"/>
                <w:sz w:val="21"/>
              </w:rPr>
            </w:pPr>
          </w:p>
        </w:tc>
        <w:tc>
          <w:tcPr>
            <w:tcW w:w="3485" w:type="dxa"/>
            <w:gridSpan w:val="2"/>
            <w:vAlign w:val="top"/>
          </w:tcPr>
          <w:p w14:paraId="6BCB514F">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(七)总计</w:t>
            </w:r>
          </w:p>
        </w:tc>
        <w:tc>
          <w:tcPr>
            <w:tcW w:w="583" w:type="dxa"/>
            <w:vAlign w:val="top"/>
          </w:tcPr>
          <w:p w14:paraId="0C3B226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0796D39E">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0B7580ED">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632AC20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186E03C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5C94DD2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2C054563">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r w14:paraId="418A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7" w:hRule="atLeast"/>
        </w:trPr>
        <w:tc>
          <w:tcPr>
            <w:tcW w:w="4080" w:type="dxa"/>
            <w:gridSpan w:val="3"/>
            <w:vAlign w:val="top"/>
          </w:tcPr>
          <w:p w14:paraId="0C598FAF">
            <w:pPr>
              <w:spacing w:line="302" w:lineRule="auto"/>
              <w:jc w:val="left"/>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四、结转下年度继续办理</w:t>
            </w:r>
          </w:p>
        </w:tc>
        <w:tc>
          <w:tcPr>
            <w:tcW w:w="583" w:type="dxa"/>
            <w:vAlign w:val="top"/>
          </w:tcPr>
          <w:p w14:paraId="042302BA">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527" w:type="dxa"/>
            <w:vAlign w:val="top"/>
          </w:tcPr>
          <w:p w14:paraId="0FEEBA77">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79" w:type="dxa"/>
            <w:vAlign w:val="top"/>
          </w:tcPr>
          <w:p w14:paraId="2DFDE7F5">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899" w:type="dxa"/>
            <w:vAlign w:val="top"/>
          </w:tcPr>
          <w:p w14:paraId="4B42CF39">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919" w:type="dxa"/>
            <w:vAlign w:val="top"/>
          </w:tcPr>
          <w:p w14:paraId="43998ECB">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649" w:type="dxa"/>
            <w:vAlign w:val="top"/>
          </w:tcPr>
          <w:p w14:paraId="72141544">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c>
          <w:tcPr>
            <w:tcW w:w="785" w:type="dxa"/>
            <w:vAlign w:val="top"/>
          </w:tcPr>
          <w:p w14:paraId="5DDDA4CC">
            <w:pPr>
              <w:spacing w:line="302" w:lineRule="auto"/>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0</w:t>
            </w:r>
          </w:p>
        </w:tc>
      </w:tr>
    </w:tbl>
    <w:p w14:paraId="56513012">
      <w:pPr>
        <w:keepNext w:val="0"/>
        <w:keepLines w:val="0"/>
        <w:pageBreakBefore w:val="0"/>
        <w:widowControl/>
        <w:kinsoku w:val="0"/>
        <w:wordWrap/>
        <w:overflowPunct/>
        <w:topLinePunct w:val="0"/>
        <w:autoSpaceDE w:val="0"/>
        <w:autoSpaceDN w:val="0"/>
        <w:bidi w:val="0"/>
        <w:adjustRightInd w:val="0"/>
        <w:snapToGrid w:val="0"/>
        <w:spacing w:line="576" w:lineRule="exact"/>
        <w:ind w:left="0" w:right="0" w:firstLine="604" w:firstLineChars="200"/>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四、政府信息公开行政复议、行政诉讼情况</w:t>
      </w:r>
    </w:p>
    <w:tbl>
      <w:tblPr>
        <w:tblStyle w:val="12"/>
        <w:tblW w:w="9195" w:type="dxa"/>
        <w:tblInd w:w="-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0"/>
        <w:gridCol w:w="600"/>
        <w:gridCol w:w="599"/>
        <w:gridCol w:w="599"/>
        <w:gridCol w:w="659"/>
        <w:gridCol w:w="550"/>
        <w:gridCol w:w="599"/>
        <w:gridCol w:w="609"/>
        <w:gridCol w:w="600"/>
        <w:gridCol w:w="599"/>
        <w:gridCol w:w="609"/>
        <w:gridCol w:w="609"/>
        <w:gridCol w:w="609"/>
        <w:gridCol w:w="600"/>
        <w:gridCol w:w="684"/>
      </w:tblGrid>
      <w:tr w14:paraId="415D3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4" w:hRule="atLeast"/>
        </w:trPr>
        <w:tc>
          <w:tcPr>
            <w:tcW w:w="3127" w:type="dxa"/>
            <w:gridSpan w:val="5"/>
            <w:vAlign w:val="top"/>
          </w:tcPr>
          <w:p w14:paraId="1A8F7104">
            <w:pPr>
              <w:pStyle w:val="13"/>
              <w:spacing w:before="153" w:line="220" w:lineRule="auto"/>
              <w:ind w:left="1135"/>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行政复议</w:t>
            </w:r>
          </w:p>
        </w:tc>
        <w:tc>
          <w:tcPr>
            <w:tcW w:w="6068" w:type="dxa"/>
            <w:gridSpan w:val="10"/>
            <w:vAlign w:val="top"/>
          </w:tcPr>
          <w:p w14:paraId="18E8DAB5">
            <w:pPr>
              <w:pStyle w:val="13"/>
              <w:spacing w:before="153" w:line="220" w:lineRule="auto"/>
              <w:ind w:left="2613"/>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行政诉讼</w:t>
            </w:r>
          </w:p>
        </w:tc>
      </w:tr>
      <w:tr w14:paraId="25EEB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670" w:type="dxa"/>
            <w:vMerge w:val="restart"/>
            <w:tcBorders>
              <w:bottom w:val="nil"/>
            </w:tcBorders>
            <w:textDirection w:val="tbRlV"/>
            <w:vAlign w:val="top"/>
          </w:tcPr>
          <w:p w14:paraId="619CE17B">
            <w:pPr>
              <w:pStyle w:val="13"/>
              <w:spacing w:before="226" w:line="199" w:lineRule="auto"/>
              <w:ind w:left="28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结</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果</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维</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持</w:t>
            </w:r>
          </w:p>
        </w:tc>
        <w:tc>
          <w:tcPr>
            <w:tcW w:w="600" w:type="dxa"/>
            <w:vMerge w:val="restart"/>
            <w:tcBorders>
              <w:bottom w:val="nil"/>
            </w:tcBorders>
            <w:textDirection w:val="tbRlV"/>
            <w:vAlign w:val="top"/>
          </w:tcPr>
          <w:p w14:paraId="45340425">
            <w:pPr>
              <w:pStyle w:val="13"/>
              <w:spacing w:before="210" w:line="194" w:lineRule="auto"/>
              <w:ind w:left="28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结</w:t>
            </w:r>
            <w:r>
              <w:rPr>
                <w:rFonts w:hint="eastAsia" w:ascii="仿宋_GB2312" w:hAnsi="仿宋_GB2312" w:eastAsia="仿宋_GB2312" w:cs="仿宋_GB2312"/>
                <w:spacing w:val="19"/>
                <w:sz w:val="19"/>
                <w:szCs w:val="19"/>
              </w:rPr>
              <w:t xml:space="preserve">  </w:t>
            </w:r>
            <w:r>
              <w:rPr>
                <w:rFonts w:hint="eastAsia" w:ascii="仿宋_GB2312" w:hAnsi="仿宋_GB2312" w:eastAsia="仿宋_GB2312" w:cs="仿宋_GB2312"/>
                <w:sz w:val="19"/>
                <w:szCs w:val="19"/>
              </w:rPr>
              <w:t>果</w:t>
            </w:r>
            <w:r>
              <w:rPr>
                <w:rFonts w:hint="eastAsia" w:ascii="仿宋_GB2312" w:hAnsi="仿宋_GB2312" w:eastAsia="仿宋_GB2312" w:cs="仿宋_GB2312"/>
                <w:spacing w:val="19"/>
                <w:sz w:val="19"/>
                <w:szCs w:val="19"/>
              </w:rPr>
              <w:t xml:space="preserve">  </w:t>
            </w:r>
            <w:r>
              <w:rPr>
                <w:rFonts w:hint="eastAsia" w:ascii="仿宋_GB2312" w:hAnsi="仿宋_GB2312" w:eastAsia="仿宋_GB2312" w:cs="仿宋_GB2312"/>
                <w:sz w:val="19"/>
                <w:szCs w:val="19"/>
              </w:rPr>
              <w:t>纠</w:t>
            </w:r>
            <w:r>
              <w:rPr>
                <w:rFonts w:hint="eastAsia" w:ascii="仿宋_GB2312" w:hAnsi="仿宋_GB2312" w:eastAsia="仿宋_GB2312" w:cs="仿宋_GB2312"/>
                <w:spacing w:val="19"/>
                <w:sz w:val="19"/>
                <w:szCs w:val="19"/>
              </w:rPr>
              <w:t xml:space="preserve">  </w:t>
            </w:r>
            <w:r>
              <w:rPr>
                <w:rFonts w:hint="eastAsia" w:ascii="仿宋_GB2312" w:hAnsi="仿宋_GB2312" w:eastAsia="仿宋_GB2312" w:cs="仿宋_GB2312"/>
                <w:sz w:val="19"/>
                <w:szCs w:val="19"/>
              </w:rPr>
              <w:t>正</w:t>
            </w:r>
          </w:p>
        </w:tc>
        <w:tc>
          <w:tcPr>
            <w:tcW w:w="599" w:type="dxa"/>
            <w:vMerge w:val="restart"/>
            <w:tcBorders>
              <w:bottom w:val="nil"/>
            </w:tcBorders>
            <w:textDirection w:val="tbRlV"/>
            <w:vAlign w:val="top"/>
          </w:tcPr>
          <w:p w14:paraId="0C7C218B">
            <w:pPr>
              <w:pStyle w:val="13"/>
              <w:spacing w:before="204" w:line="202" w:lineRule="auto"/>
              <w:ind w:left="28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其</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他</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结</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果</w:t>
            </w:r>
          </w:p>
        </w:tc>
        <w:tc>
          <w:tcPr>
            <w:tcW w:w="599" w:type="dxa"/>
            <w:vMerge w:val="restart"/>
            <w:tcBorders>
              <w:bottom w:val="nil"/>
            </w:tcBorders>
            <w:textDirection w:val="tbRlV"/>
            <w:vAlign w:val="top"/>
          </w:tcPr>
          <w:p w14:paraId="4F9ABF3D">
            <w:pPr>
              <w:pStyle w:val="13"/>
              <w:spacing w:before="217" w:line="196" w:lineRule="auto"/>
              <w:ind w:left="28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尚</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未</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审</w:t>
            </w:r>
            <w:r>
              <w:rPr>
                <w:rFonts w:hint="eastAsia" w:ascii="仿宋_GB2312" w:hAnsi="仿宋_GB2312" w:eastAsia="仿宋_GB2312" w:cs="仿宋_GB2312"/>
                <w:spacing w:val="17"/>
                <w:sz w:val="19"/>
                <w:szCs w:val="19"/>
              </w:rPr>
              <w:t xml:space="preserve">  </w:t>
            </w:r>
            <w:r>
              <w:rPr>
                <w:rFonts w:hint="eastAsia" w:ascii="仿宋_GB2312" w:hAnsi="仿宋_GB2312" w:eastAsia="仿宋_GB2312" w:cs="仿宋_GB2312"/>
                <w:sz w:val="19"/>
                <w:szCs w:val="19"/>
              </w:rPr>
              <w:t>结</w:t>
            </w:r>
          </w:p>
        </w:tc>
        <w:tc>
          <w:tcPr>
            <w:tcW w:w="659" w:type="dxa"/>
            <w:vMerge w:val="restart"/>
            <w:tcBorders>
              <w:bottom w:val="nil"/>
            </w:tcBorders>
            <w:vAlign w:val="top"/>
          </w:tcPr>
          <w:p w14:paraId="6A85449F">
            <w:pPr>
              <w:spacing w:line="284" w:lineRule="auto"/>
              <w:rPr>
                <w:rFonts w:hint="eastAsia" w:ascii="仿宋_GB2312" w:hAnsi="仿宋_GB2312" w:eastAsia="仿宋_GB2312" w:cs="仿宋_GB2312"/>
                <w:sz w:val="21"/>
              </w:rPr>
            </w:pPr>
          </w:p>
          <w:p w14:paraId="32FB2AF6">
            <w:pPr>
              <w:spacing w:line="284" w:lineRule="auto"/>
              <w:rPr>
                <w:rFonts w:hint="eastAsia" w:ascii="仿宋_GB2312" w:hAnsi="仿宋_GB2312" w:eastAsia="仿宋_GB2312" w:cs="仿宋_GB2312"/>
                <w:sz w:val="21"/>
              </w:rPr>
            </w:pPr>
          </w:p>
          <w:p w14:paraId="31E1A2B6">
            <w:pPr>
              <w:spacing w:line="284" w:lineRule="auto"/>
              <w:rPr>
                <w:rFonts w:hint="eastAsia" w:ascii="仿宋_GB2312" w:hAnsi="仿宋_GB2312" w:eastAsia="仿宋_GB2312" w:cs="仿宋_GB2312"/>
                <w:sz w:val="21"/>
              </w:rPr>
            </w:pPr>
          </w:p>
          <w:p w14:paraId="0F2CF8AE">
            <w:pPr>
              <w:pStyle w:val="13"/>
              <w:spacing w:before="62" w:line="221" w:lineRule="auto"/>
              <w:ind w:left="132"/>
              <w:rPr>
                <w:rFonts w:hint="eastAsia" w:ascii="仿宋_GB2312" w:hAnsi="仿宋_GB2312" w:eastAsia="仿宋_GB2312" w:cs="仿宋_GB2312"/>
                <w:sz w:val="19"/>
                <w:szCs w:val="19"/>
              </w:rPr>
            </w:pPr>
            <w:r>
              <w:rPr>
                <w:rFonts w:hint="eastAsia" w:ascii="仿宋_GB2312" w:hAnsi="仿宋_GB2312" w:eastAsia="仿宋_GB2312" w:cs="仿宋_GB2312"/>
                <w:spacing w:val="4"/>
                <w:sz w:val="19"/>
                <w:szCs w:val="19"/>
              </w:rPr>
              <w:t>总计</w:t>
            </w:r>
          </w:p>
        </w:tc>
        <w:tc>
          <w:tcPr>
            <w:tcW w:w="2957" w:type="dxa"/>
            <w:gridSpan w:val="5"/>
            <w:vAlign w:val="top"/>
          </w:tcPr>
          <w:p w14:paraId="699E861F">
            <w:pPr>
              <w:pStyle w:val="13"/>
              <w:spacing w:before="169" w:line="213" w:lineRule="auto"/>
              <w:ind w:left="704"/>
              <w:rPr>
                <w:rFonts w:hint="eastAsia" w:ascii="仿宋_GB2312" w:hAnsi="仿宋_GB2312" w:eastAsia="仿宋_GB2312" w:cs="仿宋_GB2312"/>
                <w:sz w:val="19"/>
                <w:szCs w:val="19"/>
              </w:rPr>
            </w:pPr>
            <w:r>
              <w:rPr>
                <w:rFonts w:hint="eastAsia" w:ascii="仿宋_GB2312" w:hAnsi="仿宋_GB2312" w:eastAsia="仿宋_GB2312" w:cs="仿宋_GB2312"/>
                <w:spacing w:val="-2"/>
                <w:sz w:val="19"/>
                <w:szCs w:val="19"/>
              </w:rPr>
              <w:t>未经复议直接起诉</w:t>
            </w:r>
          </w:p>
        </w:tc>
        <w:tc>
          <w:tcPr>
            <w:tcW w:w="3111" w:type="dxa"/>
            <w:gridSpan w:val="5"/>
            <w:vAlign w:val="top"/>
          </w:tcPr>
          <w:p w14:paraId="0A07BFFD">
            <w:pPr>
              <w:pStyle w:val="13"/>
              <w:spacing w:before="169" w:line="213" w:lineRule="auto"/>
              <w:ind w:left="1046"/>
              <w:rPr>
                <w:rFonts w:hint="eastAsia" w:ascii="仿宋_GB2312" w:hAnsi="仿宋_GB2312" w:eastAsia="仿宋_GB2312" w:cs="仿宋_GB2312"/>
                <w:sz w:val="19"/>
                <w:szCs w:val="19"/>
              </w:rPr>
            </w:pPr>
            <w:r>
              <w:rPr>
                <w:rFonts w:hint="eastAsia" w:ascii="仿宋_GB2312" w:hAnsi="仿宋_GB2312" w:eastAsia="仿宋_GB2312" w:cs="仿宋_GB2312"/>
                <w:spacing w:val="1"/>
                <w:sz w:val="19"/>
                <w:szCs w:val="19"/>
              </w:rPr>
              <w:t>复议后起诉</w:t>
            </w:r>
          </w:p>
        </w:tc>
      </w:tr>
      <w:tr w14:paraId="7B876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4" w:hRule="atLeast"/>
        </w:trPr>
        <w:tc>
          <w:tcPr>
            <w:tcW w:w="670" w:type="dxa"/>
            <w:vMerge w:val="continue"/>
            <w:tcBorders>
              <w:top w:val="nil"/>
            </w:tcBorders>
            <w:textDirection w:val="tbRlV"/>
            <w:vAlign w:val="top"/>
          </w:tcPr>
          <w:p w14:paraId="158AF4AF">
            <w:pPr>
              <w:rPr>
                <w:rFonts w:hint="eastAsia" w:ascii="仿宋_GB2312" w:hAnsi="仿宋_GB2312" w:eastAsia="仿宋_GB2312" w:cs="仿宋_GB2312"/>
                <w:sz w:val="21"/>
              </w:rPr>
            </w:pPr>
          </w:p>
        </w:tc>
        <w:tc>
          <w:tcPr>
            <w:tcW w:w="600" w:type="dxa"/>
            <w:vMerge w:val="continue"/>
            <w:tcBorders>
              <w:top w:val="nil"/>
            </w:tcBorders>
            <w:textDirection w:val="tbRlV"/>
            <w:vAlign w:val="top"/>
          </w:tcPr>
          <w:p w14:paraId="26E1E8B1">
            <w:pPr>
              <w:rPr>
                <w:rFonts w:hint="eastAsia" w:ascii="仿宋_GB2312" w:hAnsi="仿宋_GB2312" w:eastAsia="仿宋_GB2312" w:cs="仿宋_GB2312"/>
                <w:sz w:val="21"/>
              </w:rPr>
            </w:pPr>
          </w:p>
        </w:tc>
        <w:tc>
          <w:tcPr>
            <w:tcW w:w="599" w:type="dxa"/>
            <w:vMerge w:val="continue"/>
            <w:tcBorders>
              <w:top w:val="nil"/>
            </w:tcBorders>
            <w:textDirection w:val="tbRlV"/>
            <w:vAlign w:val="top"/>
          </w:tcPr>
          <w:p w14:paraId="16F3987F">
            <w:pPr>
              <w:rPr>
                <w:rFonts w:hint="eastAsia" w:ascii="仿宋_GB2312" w:hAnsi="仿宋_GB2312" w:eastAsia="仿宋_GB2312" w:cs="仿宋_GB2312"/>
                <w:sz w:val="21"/>
              </w:rPr>
            </w:pPr>
          </w:p>
        </w:tc>
        <w:tc>
          <w:tcPr>
            <w:tcW w:w="599" w:type="dxa"/>
            <w:vMerge w:val="continue"/>
            <w:tcBorders>
              <w:top w:val="nil"/>
            </w:tcBorders>
            <w:textDirection w:val="tbRlV"/>
            <w:vAlign w:val="top"/>
          </w:tcPr>
          <w:p w14:paraId="00D922B6">
            <w:pPr>
              <w:rPr>
                <w:rFonts w:hint="eastAsia" w:ascii="仿宋_GB2312" w:hAnsi="仿宋_GB2312" w:eastAsia="仿宋_GB2312" w:cs="仿宋_GB2312"/>
                <w:sz w:val="21"/>
              </w:rPr>
            </w:pPr>
          </w:p>
        </w:tc>
        <w:tc>
          <w:tcPr>
            <w:tcW w:w="659" w:type="dxa"/>
            <w:vMerge w:val="continue"/>
            <w:tcBorders>
              <w:top w:val="nil"/>
            </w:tcBorders>
            <w:vAlign w:val="top"/>
          </w:tcPr>
          <w:p w14:paraId="36CD4F14">
            <w:pPr>
              <w:rPr>
                <w:rFonts w:hint="eastAsia" w:ascii="仿宋_GB2312" w:hAnsi="仿宋_GB2312" w:eastAsia="仿宋_GB2312" w:cs="仿宋_GB2312"/>
                <w:sz w:val="21"/>
              </w:rPr>
            </w:pPr>
          </w:p>
        </w:tc>
        <w:tc>
          <w:tcPr>
            <w:tcW w:w="550" w:type="dxa"/>
            <w:textDirection w:val="tbRlV"/>
            <w:vAlign w:val="top"/>
          </w:tcPr>
          <w:p w14:paraId="776DC089">
            <w:pPr>
              <w:pStyle w:val="13"/>
              <w:spacing w:before="183" w:line="199"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结</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果</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维</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持</w:t>
            </w:r>
          </w:p>
        </w:tc>
        <w:tc>
          <w:tcPr>
            <w:tcW w:w="599" w:type="dxa"/>
            <w:textDirection w:val="tbRlV"/>
            <w:vAlign w:val="top"/>
          </w:tcPr>
          <w:p w14:paraId="0F0E1A1A">
            <w:pPr>
              <w:pStyle w:val="13"/>
              <w:spacing w:before="206" w:line="194"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结</w:t>
            </w:r>
            <w:r>
              <w:rPr>
                <w:rFonts w:hint="eastAsia" w:ascii="仿宋_GB2312" w:hAnsi="仿宋_GB2312" w:eastAsia="仿宋_GB2312" w:cs="仿宋_GB2312"/>
                <w:spacing w:val="22"/>
                <w:sz w:val="19"/>
                <w:szCs w:val="19"/>
              </w:rPr>
              <w:t xml:space="preserve">  </w:t>
            </w:r>
            <w:r>
              <w:rPr>
                <w:rFonts w:hint="eastAsia" w:ascii="仿宋_GB2312" w:hAnsi="仿宋_GB2312" w:eastAsia="仿宋_GB2312" w:cs="仿宋_GB2312"/>
                <w:sz w:val="19"/>
                <w:szCs w:val="19"/>
              </w:rPr>
              <w:t>果</w:t>
            </w:r>
            <w:r>
              <w:rPr>
                <w:rFonts w:hint="eastAsia" w:ascii="仿宋_GB2312" w:hAnsi="仿宋_GB2312" w:eastAsia="仿宋_GB2312" w:cs="仿宋_GB2312"/>
                <w:spacing w:val="22"/>
                <w:sz w:val="19"/>
                <w:szCs w:val="19"/>
              </w:rPr>
              <w:t xml:space="preserve">  </w:t>
            </w:r>
            <w:r>
              <w:rPr>
                <w:rFonts w:hint="eastAsia" w:ascii="仿宋_GB2312" w:hAnsi="仿宋_GB2312" w:eastAsia="仿宋_GB2312" w:cs="仿宋_GB2312"/>
                <w:sz w:val="19"/>
                <w:szCs w:val="19"/>
              </w:rPr>
              <w:t>纠</w:t>
            </w:r>
            <w:r>
              <w:rPr>
                <w:rFonts w:hint="eastAsia" w:ascii="仿宋_GB2312" w:hAnsi="仿宋_GB2312" w:eastAsia="仿宋_GB2312" w:cs="仿宋_GB2312"/>
                <w:spacing w:val="23"/>
                <w:sz w:val="19"/>
                <w:szCs w:val="19"/>
              </w:rPr>
              <w:t xml:space="preserve">  </w:t>
            </w:r>
            <w:r>
              <w:rPr>
                <w:rFonts w:hint="eastAsia" w:ascii="仿宋_GB2312" w:hAnsi="仿宋_GB2312" w:eastAsia="仿宋_GB2312" w:cs="仿宋_GB2312"/>
                <w:sz w:val="19"/>
                <w:szCs w:val="19"/>
              </w:rPr>
              <w:t>正</w:t>
            </w:r>
          </w:p>
        </w:tc>
        <w:tc>
          <w:tcPr>
            <w:tcW w:w="609" w:type="dxa"/>
            <w:textDirection w:val="tbRlV"/>
            <w:vAlign w:val="top"/>
          </w:tcPr>
          <w:p w14:paraId="3E0730DC">
            <w:pPr>
              <w:pStyle w:val="13"/>
              <w:spacing w:before="200" w:line="202"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其</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他</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结</w:t>
            </w:r>
            <w:r>
              <w:rPr>
                <w:rFonts w:hint="eastAsia" w:ascii="仿宋_GB2312" w:hAnsi="仿宋_GB2312" w:eastAsia="仿宋_GB2312" w:cs="仿宋_GB2312"/>
                <w:spacing w:val="21"/>
                <w:sz w:val="19"/>
                <w:szCs w:val="19"/>
              </w:rPr>
              <w:t xml:space="preserve">  </w:t>
            </w:r>
            <w:r>
              <w:rPr>
                <w:rFonts w:hint="eastAsia" w:ascii="仿宋_GB2312" w:hAnsi="仿宋_GB2312" w:eastAsia="仿宋_GB2312" w:cs="仿宋_GB2312"/>
                <w:sz w:val="19"/>
                <w:szCs w:val="19"/>
              </w:rPr>
              <w:t>果</w:t>
            </w:r>
          </w:p>
        </w:tc>
        <w:tc>
          <w:tcPr>
            <w:tcW w:w="600" w:type="dxa"/>
            <w:textDirection w:val="tbRlV"/>
            <w:vAlign w:val="top"/>
          </w:tcPr>
          <w:p w14:paraId="3CE4F98A">
            <w:pPr>
              <w:pStyle w:val="13"/>
              <w:spacing w:before="224" w:line="196"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尚</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未</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审</w:t>
            </w:r>
            <w:r>
              <w:rPr>
                <w:rFonts w:hint="eastAsia" w:ascii="仿宋_GB2312" w:hAnsi="仿宋_GB2312" w:eastAsia="仿宋_GB2312" w:cs="仿宋_GB2312"/>
                <w:spacing w:val="21"/>
                <w:sz w:val="19"/>
                <w:szCs w:val="19"/>
              </w:rPr>
              <w:t xml:space="preserve">  </w:t>
            </w:r>
            <w:r>
              <w:rPr>
                <w:rFonts w:hint="eastAsia" w:ascii="仿宋_GB2312" w:hAnsi="仿宋_GB2312" w:eastAsia="仿宋_GB2312" w:cs="仿宋_GB2312"/>
                <w:sz w:val="19"/>
                <w:szCs w:val="19"/>
              </w:rPr>
              <w:t>结</w:t>
            </w:r>
          </w:p>
        </w:tc>
        <w:tc>
          <w:tcPr>
            <w:tcW w:w="599" w:type="dxa"/>
            <w:textDirection w:val="tbRlV"/>
            <w:vAlign w:val="top"/>
          </w:tcPr>
          <w:p w14:paraId="4BFA7869">
            <w:pPr>
              <w:pStyle w:val="13"/>
              <w:spacing w:before="200" w:line="202" w:lineRule="auto"/>
              <w:ind w:left="47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总</w:t>
            </w:r>
            <w:r>
              <w:rPr>
                <w:rFonts w:hint="eastAsia" w:ascii="仿宋_GB2312" w:hAnsi="仿宋_GB2312" w:eastAsia="仿宋_GB2312" w:cs="仿宋_GB2312"/>
                <w:spacing w:val="42"/>
                <w:sz w:val="19"/>
                <w:szCs w:val="19"/>
              </w:rPr>
              <w:t xml:space="preserve">  </w:t>
            </w:r>
            <w:r>
              <w:rPr>
                <w:rFonts w:hint="eastAsia" w:ascii="仿宋_GB2312" w:hAnsi="仿宋_GB2312" w:eastAsia="仿宋_GB2312" w:cs="仿宋_GB2312"/>
                <w:sz w:val="19"/>
                <w:szCs w:val="19"/>
              </w:rPr>
              <w:t>计</w:t>
            </w:r>
          </w:p>
        </w:tc>
        <w:tc>
          <w:tcPr>
            <w:tcW w:w="609" w:type="dxa"/>
            <w:textDirection w:val="tbRlV"/>
            <w:vAlign w:val="top"/>
          </w:tcPr>
          <w:p w14:paraId="376A4CF0">
            <w:pPr>
              <w:pStyle w:val="13"/>
              <w:spacing w:before="189" w:line="199"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结</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果</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维</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持</w:t>
            </w:r>
          </w:p>
        </w:tc>
        <w:tc>
          <w:tcPr>
            <w:tcW w:w="609" w:type="dxa"/>
            <w:textDirection w:val="tbRlV"/>
            <w:vAlign w:val="top"/>
          </w:tcPr>
          <w:p w14:paraId="24725200">
            <w:pPr>
              <w:pStyle w:val="13"/>
              <w:spacing w:before="202" w:line="194"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结</w:t>
            </w:r>
            <w:r>
              <w:rPr>
                <w:rFonts w:hint="eastAsia" w:ascii="仿宋_GB2312" w:hAnsi="仿宋_GB2312" w:eastAsia="仿宋_GB2312" w:cs="仿宋_GB2312"/>
                <w:spacing w:val="22"/>
                <w:sz w:val="19"/>
                <w:szCs w:val="19"/>
              </w:rPr>
              <w:t xml:space="preserve">  </w:t>
            </w:r>
            <w:r>
              <w:rPr>
                <w:rFonts w:hint="eastAsia" w:ascii="仿宋_GB2312" w:hAnsi="仿宋_GB2312" w:eastAsia="仿宋_GB2312" w:cs="仿宋_GB2312"/>
                <w:sz w:val="19"/>
                <w:szCs w:val="19"/>
              </w:rPr>
              <w:t>果</w:t>
            </w:r>
            <w:r>
              <w:rPr>
                <w:rFonts w:hint="eastAsia" w:ascii="仿宋_GB2312" w:hAnsi="仿宋_GB2312" w:eastAsia="仿宋_GB2312" w:cs="仿宋_GB2312"/>
                <w:spacing w:val="22"/>
                <w:sz w:val="19"/>
                <w:szCs w:val="19"/>
              </w:rPr>
              <w:t xml:space="preserve">  </w:t>
            </w:r>
            <w:r>
              <w:rPr>
                <w:rFonts w:hint="eastAsia" w:ascii="仿宋_GB2312" w:hAnsi="仿宋_GB2312" w:eastAsia="仿宋_GB2312" w:cs="仿宋_GB2312"/>
                <w:sz w:val="19"/>
                <w:szCs w:val="19"/>
              </w:rPr>
              <w:t>纠</w:t>
            </w:r>
            <w:r>
              <w:rPr>
                <w:rFonts w:hint="eastAsia" w:ascii="仿宋_GB2312" w:hAnsi="仿宋_GB2312" w:eastAsia="仿宋_GB2312" w:cs="仿宋_GB2312"/>
                <w:spacing w:val="23"/>
                <w:sz w:val="19"/>
                <w:szCs w:val="19"/>
              </w:rPr>
              <w:t xml:space="preserve">  </w:t>
            </w:r>
            <w:r>
              <w:rPr>
                <w:rFonts w:hint="eastAsia" w:ascii="仿宋_GB2312" w:hAnsi="仿宋_GB2312" w:eastAsia="仿宋_GB2312" w:cs="仿宋_GB2312"/>
                <w:sz w:val="19"/>
                <w:szCs w:val="19"/>
              </w:rPr>
              <w:t>正</w:t>
            </w:r>
          </w:p>
        </w:tc>
        <w:tc>
          <w:tcPr>
            <w:tcW w:w="609" w:type="dxa"/>
            <w:textDirection w:val="tbRlV"/>
            <w:vAlign w:val="top"/>
          </w:tcPr>
          <w:p w14:paraId="19200DB7">
            <w:pPr>
              <w:pStyle w:val="13"/>
              <w:spacing w:before="226" w:line="202"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其</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他</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结</w:t>
            </w:r>
            <w:r>
              <w:rPr>
                <w:rFonts w:hint="eastAsia" w:ascii="仿宋_GB2312" w:hAnsi="仿宋_GB2312" w:eastAsia="仿宋_GB2312" w:cs="仿宋_GB2312"/>
                <w:spacing w:val="21"/>
                <w:sz w:val="19"/>
                <w:szCs w:val="19"/>
              </w:rPr>
              <w:t xml:space="preserve">  </w:t>
            </w:r>
            <w:r>
              <w:rPr>
                <w:rFonts w:hint="eastAsia" w:ascii="仿宋_GB2312" w:hAnsi="仿宋_GB2312" w:eastAsia="仿宋_GB2312" w:cs="仿宋_GB2312"/>
                <w:sz w:val="19"/>
                <w:szCs w:val="19"/>
              </w:rPr>
              <w:t>果</w:t>
            </w:r>
          </w:p>
        </w:tc>
        <w:tc>
          <w:tcPr>
            <w:tcW w:w="600" w:type="dxa"/>
            <w:textDirection w:val="tbRlV"/>
            <w:vAlign w:val="top"/>
          </w:tcPr>
          <w:p w14:paraId="0866ECB8">
            <w:pPr>
              <w:pStyle w:val="13"/>
              <w:spacing w:before="210" w:line="196" w:lineRule="auto"/>
              <w:ind w:left="72"/>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尚</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未</w:t>
            </w:r>
            <w:r>
              <w:rPr>
                <w:rFonts w:hint="eastAsia" w:ascii="仿宋_GB2312" w:hAnsi="仿宋_GB2312" w:eastAsia="仿宋_GB2312" w:cs="仿宋_GB2312"/>
                <w:spacing w:val="20"/>
                <w:sz w:val="19"/>
                <w:szCs w:val="19"/>
              </w:rPr>
              <w:t xml:space="preserve">  </w:t>
            </w:r>
            <w:r>
              <w:rPr>
                <w:rFonts w:hint="eastAsia" w:ascii="仿宋_GB2312" w:hAnsi="仿宋_GB2312" w:eastAsia="仿宋_GB2312" w:cs="仿宋_GB2312"/>
                <w:sz w:val="19"/>
                <w:szCs w:val="19"/>
              </w:rPr>
              <w:t>审</w:t>
            </w:r>
            <w:r>
              <w:rPr>
                <w:rFonts w:hint="eastAsia" w:ascii="仿宋_GB2312" w:hAnsi="仿宋_GB2312" w:eastAsia="仿宋_GB2312" w:cs="仿宋_GB2312"/>
                <w:spacing w:val="21"/>
                <w:sz w:val="19"/>
                <w:szCs w:val="19"/>
              </w:rPr>
              <w:t xml:space="preserve">  </w:t>
            </w:r>
            <w:r>
              <w:rPr>
                <w:rFonts w:hint="eastAsia" w:ascii="仿宋_GB2312" w:hAnsi="仿宋_GB2312" w:eastAsia="仿宋_GB2312" w:cs="仿宋_GB2312"/>
                <w:sz w:val="19"/>
                <w:szCs w:val="19"/>
              </w:rPr>
              <w:t>结</w:t>
            </w:r>
          </w:p>
        </w:tc>
        <w:tc>
          <w:tcPr>
            <w:tcW w:w="684" w:type="dxa"/>
            <w:textDirection w:val="tbRlV"/>
            <w:vAlign w:val="top"/>
          </w:tcPr>
          <w:p w14:paraId="67291750">
            <w:pPr>
              <w:pStyle w:val="13"/>
              <w:spacing w:before="201" w:line="202" w:lineRule="auto"/>
              <w:ind w:left="471"/>
              <w:rPr>
                <w:rFonts w:hint="eastAsia" w:ascii="仿宋_GB2312" w:hAnsi="仿宋_GB2312" w:eastAsia="仿宋_GB2312" w:cs="仿宋_GB2312"/>
                <w:sz w:val="19"/>
                <w:szCs w:val="19"/>
              </w:rPr>
            </w:pPr>
            <w:r>
              <w:rPr>
                <w:rFonts w:hint="eastAsia" w:ascii="仿宋_GB2312" w:hAnsi="仿宋_GB2312" w:eastAsia="仿宋_GB2312" w:cs="仿宋_GB2312"/>
                <w:sz w:val="19"/>
                <w:szCs w:val="19"/>
              </w:rPr>
              <w:t>总</w:t>
            </w:r>
            <w:r>
              <w:rPr>
                <w:rFonts w:hint="eastAsia" w:ascii="仿宋_GB2312" w:hAnsi="仿宋_GB2312" w:eastAsia="仿宋_GB2312" w:cs="仿宋_GB2312"/>
                <w:spacing w:val="42"/>
                <w:sz w:val="19"/>
                <w:szCs w:val="19"/>
              </w:rPr>
              <w:t xml:space="preserve">  </w:t>
            </w:r>
            <w:r>
              <w:rPr>
                <w:rFonts w:hint="eastAsia" w:ascii="仿宋_GB2312" w:hAnsi="仿宋_GB2312" w:eastAsia="仿宋_GB2312" w:cs="仿宋_GB2312"/>
                <w:sz w:val="19"/>
                <w:szCs w:val="19"/>
              </w:rPr>
              <w:t>计</w:t>
            </w:r>
          </w:p>
        </w:tc>
      </w:tr>
      <w:tr w14:paraId="5A9E2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 w:hRule="atLeast"/>
        </w:trPr>
        <w:tc>
          <w:tcPr>
            <w:tcW w:w="670" w:type="dxa"/>
            <w:vAlign w:val="top"/>
          </w:tcPr>
          <w:p w14:paraId="1C9BCF53">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0" w:type="dxa"/>
            <w:vAlign w:val="top"/>
          </w:tcPr>
          <w:p w14:paraId="4B2F25B3">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599" w:type="dxa"/>
            <w:vAlign w:val="top"/>
          </w:tcPr>
          <w:p w14:paraId="3CD514C7">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599" w:type="dxa"/>
            <w:vAlign w:val="top"/>
          </w:tcPr>
          <w:p w14:paraId="612B6DE6">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59" w:type="dxa"/>
            <w:vAlign w:val="top"/>
          </w:tcPr>
          <w:p w14:paraId="7D329957">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550" w:type="dxa"/>
            <w:vAlign w:val="top"/>
          </w:tcPr>
          <w:p w14:paraId="7E8AEBA8">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599" w:type="dxa"/>
            <w:vAlign w:val="top"/>
          </w:tcPr>
          <w:p w14:paraId="7D45E876">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9" w:type="dxa"/>
            <w:vAlign w:val="top"/>
          </w:tcPr>
          <w:p w14:paraId="50E171D0">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0" w:type="dxa"/>
            <w:vAlign w:val="top"/>
          </w:tcPr>
          <w:p w14:paraId="449B89F0">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599" w:type="dxa"/>
            <w:vAlign w:val="top"/>
          </w:tcPr>
          <w:p w14:paraId="3C3318B8">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9" w:type="dxa"/>
            <w:vAlign w:val="top"/>
          </w:tcPr>
          <w:p w14:paraId="7B53CE88">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9" w:type="dxa"/>
            <w:vAlign w:val="top"/>
          </w:tcPr>
          <w:p w14:paraId="5870837A">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9" w:type="dxa"/>
            <w:vAlign w:val="top"/>
          </w:tcPr>
          <w:p w14:paraId="1DF43A81">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00" w:type="dxa"/>
            <w:vAlign w:val="top"/>
          </w:tcPr>
          <w:p w14:paraId="78FB8CDB">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c>
          <w:tcPr>
            <w:tcW w:w="684" w:type="dxa"/>
            <w:vAlign w:val="top"/>
          </w:tcPr>
          <w:p w14:paraId="7E937E8D">
            <w:pPr>
              <w:jc w:val="center"/>
              <w:rPr>
                <w:rFonts w:hint="eastAsia" w:ascii="仿宋_GB2312" w:hAnsi="仿宋_GB2312" w:eastAsia="仿宋_GB2312" w:cs="仿宋_GB2312"/>
                <w:sz w:val="21"/>
                <w:lang w:val="en-US" w:eastAsia="zh-CN"/>
              </w:rPr>
            </w:pPr>
            <w:r>
              <w:rPr>
                <w:rFonts w:hint="eastAsia" w:ascii="仿宋_GB2312" w:hAnsi="仿宋_GB2312" w:eastAsia="仿宋_GB2312" w:cs="仿宋_GB2312"/>
                <w:sz w:val="21"/>
                <w:lang w:val="en-US" w:eastAsia="zh-CN"/>
              </w:rPr>
              <w:t>0</w:t>
            </w:r>
          </w:p>
        </w:tc>
      </w:tr>
    </w:tbl>
    <w:p w14:paraId="5432F54E">
      <w:pPr>
        <w:keepNext w:val="0"/>
        <w:keepLines w:val="0"/>
        <w:pageBreakBefore w:val="0"/>
        <w:widowControl w:val="0"/>
        <w:kinsoku w:val="0"/>
        <w:wordWrap/>
        <w:overflowPunct/>
        <w:topLinePunct/>
        <w:autoSpaceDE/>
        <w:autoSpaceDN/>
        <w:bidi w:val="0"/>
        <w:adjustRightInd w:val="0"/>
        <w:snapToGrid w:val="0"/>
        <w:spacing w:line="576" w:lineRule="exact"/>
        <w:ind w:left="0" w:leftChars="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五、存在的主要问题及改进情况</w:t>
      </w:r>
    </w:p>
    <w:p w14:paraId="42219FAC">
      <w:pPr>
        <w:keepNext w:val="0"/>
        <w:keepLines w:val="0"/>
        <w:pageBreakBefore w:val="0"/>
        <w:widowControl w:val="0"/>
        <w:kinsoku w:val="0"/>
        <w:wordWrap/>
        <w:overflowPunct/>
        <w:topLinePunct/>
        <w:autoSpaceDE/>
        <w:autoSpaceDN/>
        <w:bidi w:val="0"/>
        <w:adjustRightInd w:val="0"/>
        <w:snapToGrid w:val="0"/>
        <w:spacing w:line="576" w:lineRule="exact"/>
        <w:ind w:left="0" w:leftChars="0" w:firstLine="640" w:firstLineChars="200"/>
        <w:jc w:val="both"/>
        <w:textAlignment w:val="baseline"/>
        <w:rPr>
          <w:rFonts w:hint="eastAsia" w:ascii="仿宋_GB2312" w:hAnsi="仿宋_GB2312" w:eastAsia="仿宋_GB2312" w:cs="仿宋_GB2312"/>
          <w:sz w:val="32"/>
          <w:szCs w:val="32"/>
        </w:rPr>
      </w:pPr>
      <w:r>
        <w:rPr>
          <w:rFonts w:hint="eastAsia" w:ascii="楷体_GB2312" w:hAnsi="楷体_GB2312" w:eastAsia="楷体_GB2312" w:cs="楷体_GB2312"/>
          <w:snapToGrid w:val="0"/>
          <w:color w:val="000000"/>
          <w:kern w:val="0"/>
          <w:sz w:val="32"/>
          <w:szCs w:val="32"/>
          <w:lang w:val="en-US" w:eastAsia="zh-CN" w:bidi="ar"/>
        </w:rPr>
        <w:t>（一）存在的问题。</w:t>
      </w:r>
      <w:r>
        <w:rPr>
          <w:rFonts w:hint="eastAsia" w:ascii="仿宋_GB2312" w:hAnsi="仿宋_GB2312" w:eastAsia="仿宋_GB2312" w:cs="仿宋_GB2312"/>
          <w:snapToGrid w:val="0"/>
          <w:color w:val="000000"/>
          <w:kern w:val="0"/>
          <w:sz w:val="32"/>
          <w:szCs w:val="32"/>
          <w:lang w:val="en-US" w:eastAsia="zh-CN" w:bidi="ar"/>
        </w:rPr>
        <w:t>在2024年政务信息公开工作中，主要依靠政府官网、网信工布、单位公告栏发布信息，渠道单一。这带来诸多局限。</w:t>
      </w:r>
      <w:r>
        <w:rPr>
          <w:rFonts w:hint="default"/>
          <w:b/>
          <w:bCs/>
          <w:lang w:val="en-US" w:eastAsia="zh-CN"/>
        </w:rPr>
        <w:t xml:space="preserve"> </w:t>
      </w:r>
      <w:r>
        <w:rPr>
          <w:rFonts w:hint="default" w:ascii="仿宋_GB2312" w:hAnsi="仿宋_GB2312" w:eastAsia="仿宋_GB2312" w:cs="仿宋_GB2312"/>
          <w:b/>
          <w:bCs/>
          <w:snapToGrid w:val="0"/>
          <w:color w:val="000000"/>
          <w:kern w:val="0"/>
          <w:sz w:val="32"/>
          <w:szCs w:val="32"/>
          <w:lang w:val="en-US" w:eastAsia="zh-CN" w:bidi="ar"/>
        </w:rPr>
        <w:t>新媒体运营不佳</w:t>
      </w:r>
      <w:r>
        <w:rPr>
          <w:rFonts w:hint="eastAsia" w:ascii="仿宋_GB2312" w:hAnsi="仿宋_GB2312" w:eastAsia="仿宋_GB2312" w:cs="仿宋_GB2312"/>
          <w:b/>
          <w:bCs/>
          <w:snapToGrid w:val="0"/>
          <w:color w:val="000000"/>
          <w:kern w:val="0"/>
          <w:sz w:val="32"/>
          <w:szCs w:val="32"/>
          <w:lang w:val="en-US" w:eastAsia="zh-CN" w:bidi="ar"/>
        </w:rPr>
        <w:t>，</w:t>
      </w:r>
      <w:r>
        <w:rPr>
          <w:rFonts w:hint="default" w:ascii="仿宋_GB2312" w:hAnsi="仿宋_GB2312" w:eastAsia="仿宋_GB2312" w:cs="仿宋_GB2312"/>
          <w:snapToGrid w:val="0"/>
          <w:color w:val="000000"/>
          <w:kern w:val="0"/>
          <w:sz w:val="32"/>
          <w:szCs w:val="32"/>
          <w:lang w:val="en-US" w:eastAsia="zh-CN" w:bidi="ar"/>
        </w:rPr>
        <w:t>虽开设微信公众号、</w:t>
      </w:r>
      <w:r>
        <w:rPr>
          <w:rFonts w:hint="eastAsia" w:ascii="仿宋_GB2312" w:hAnsi="仿宋_GB2312" w:eastAsia="仿宋_GB2312" w:cs="仿宋_GB2312"/>
          <w:snapToGrid w:val="0"/>
          <w:color w:val="000000"/>
          <w:kern w:val="0"/>
          <w:sz w:val="32"/>
          <w:szCs w:val="32"/>
          <w:lang w:val="en-US" w:eastAsia="zh-CN" w:bidi="ar"/>
        </w:rPr>
        <w:t>抖音</w:t>
      </w:r>
      <w:r>
        <w:rPr>
          <w:rFonts w:hint="default" w:ascii="仿宋_GB2312" w:hAnsi="仿宋_GB2312" w:eastAsia="仿宋_GB2312" w:cs="仿宋_GB2312"/>
          <w:snapToGrid w:val="0"/>
          <w:color w:val="000000"/>
          <w:kern w:val="0"/>
          <w:sz w:val="32"/>
          <w:szCs w:val="32"/>
          <w:lang w:val="en-US" w:eastAsia="zh-CN" w:bidi="ar"/>
        </w:rPr>
        <w:t>等新媒体账号，但更新频率低，内容形式单一，多为简单文字公告，缺乏多元化展示，难以吸引公众关注。</w:t>
      </w:r>
      <w:r>
        <w:rPr>
          <w:rFonts w:hint="default" w:ascii="仿宋_GB2312" w:hAnsi="仿宋_GB2312" w:eastAsia="仿宋_GB2312" w:cs="仿宋_GB2312"/>
          <w:b/>
          <w:bCs/>
          <w:snapToGrid w:val="0"/>
          <w:color w:val="000000"/>
          <w:kern w:val="0"/>
          <w:sz w:val="32"/>
          <w:szCs w:val="32"/>
          <w:lang w:val="en-US" w:eastAsia="zh-CN" w:bidi="ar"/>
        </w:rPr>
        <w:t>新媒体技能缺乏</w:t>
      </w:r>
      <w:r>
        <w:rPr>
          <w:rFonts w:hint="eastAsia" w:ascii="仿宋_GB2312" w:hAnsi="仿宋_GB2312" w:eastAsia="仿宋_GB2312" w:cs="仿宋_GB2312"/>
          <w:b/>
          <w:bCs/>
          <w:snapToGrid w:val="0"/>
          <w:color w:val="000000"/>
          <w:kern w:val="0"/>
          <w:sz w:val="32"/>
          <w:szCs w:val="32"/>
          <w:lang w:val="en-US" w:eastAsia="zh-CN" w:bidi="ar"/>
        </w:rPr>
        <w:t>，</w:t>
      </w:r>
      <w:r>
        <w:rPr>
          <w:rFonts w:hint="default" w:ascii="仿宋_GB2312" w:hAnsi="仿宋_GB2312" w:eastAsia="仿宋_GB2312" w:cs="仿宋_GB2312"/>
          <w:snapToGrid w:val="0"/>
          <w:color w:val="000000"/>
          <w:kern w:val="0"/>
          <w:sz w:val="32"/>
          <w:szCs w:val="32"/>
          <w:lang w:val="en-US" w:eastAsia="zh-CN" w:bidi="ar"/>
        </w:rPr>
        <w:t>新媒体运营技能的专业人才</w:t>
      </w:r>
      <w:r>
        <w:rPr>
          <w:rFonts w:hint="eastAsia" w:ascii="仿宋_GB2312" w:hAnsi="仿宋_GB2312" w:eastAsia="仿宋_GB2312" w:cs="仿宋_GB2312"/>
          <w:snapToGrid w:val="0"/>
          <w:color w:val="000000"/>
          <w:kern w:val="0"/>
          <w:sz w:val="32"/>
          <w:szCs w:val="32"/>
          <w:lang w:val="en-US" w:eastAsia="zh-CN" w:bidi="ar"/>
        </w:rPr>
        <w:t>培养滞后</w:t>
      </w:r>
      <w:r>
        <w:rPr>
          <w:rFonts w:hint="default" w:ascii="仿宋_GB2312" w:hAnsi="仿宋_GB2312" w:eastAsia="仿宋_GB2312" w:cs="仿宋_GB2312"/>
          <w:snapToGrid w:val="0"/>
          <w:color w:val="000000"/>
          <w:kern w:val="0"/>
          <w:sz w:val="32"/>
          <w:szCs w:val="32"/>
          <w:lang w:val="en-US" w:eastAsia="zh-CN" w:bidi="ar"/>
        </w:rPr>
        <w:t>，无法充分利用新媒体平台的互动功能，如直播、线上问答等，来提升信息公开效果。</w:t>
      </w:r>
    </w:p>
    <w:p w14:paraId="609B4739">
      <w:pPr>
        <w:keepNext w:val="0"/>
        <w:keepLines w:val="0"/>
        <w:pageBreakBefore w:val="0"/>
        <w:widowControl w:val="0"/>
        <w:kinsoku w:val="0"/>
        <w:wordWrap/>
        <w:overflowPunct/>
        <w:topLinePunct/>
        <w:autoSpaceDE/>
        <w:autoSpaceDN/>
        <w:bidi w:val="0"/>
        <w:adjustRightInd w:val="0"/>
        <w:snapToGrid w:val="0"/>
        <w:spacing w:line="576" w:lineRule="exact"/>
        <w:ind w:left="0" w:leftChars="0" w:firstLine="640" w:firstLineChars="200"/>
        <w:jc w:val="both"/>
        <w:textAlignment w:val="baseline"/>
        <w:rPr>
          <w:rFonts w:hint="eastAsia" w:ascii="仿宋_GB2312" w:hAnsi="仿宋_GB2312" w:eastAsia="仿宋_GB2312" w:cs="仿宋_GB2312"/>
          <w:snapToGrid w:val="0"/>
          <w:color w:val="000000"/>
          <w:kern w:val="0"/>
          <w:sz w:val="32"/>
          <w:szCs w:val="32"/>
          <w:lang w:val="en-US" w:eastAsia="zh-CN" w:bidi="ar"/>
        </w:rPr>
      </w:pPr>
      <w:r>
        <w:rPr>
          <w:rFonts w:hint="eastAsia" w:ascii="楷体_GB2312" w:hAnsi="楷体_GB2312" w:eastAsia="楷体_GB2312" w:cs="楷体_GB2312"/>
          <w:b w:val="0"/>
          <w:bCs w:val="0"/>
          <w:snapToGrid w:val="0"/>
          <w:color w:val="000000"/>
          <w:kern w:val="0"/>
          <w:sz w:val="32"/>
          <w:szCs w:val="32"/>
          <w:lang w:val="en-US" w:eastAsia="zh-CN" w:bidi="ar"/>
        </w:rPr>
        <w:t>（二）对策建议。</w:t>
      </w:r>
      <w:r>
        <w:rPr>
          <w:rFonts w:hint="default" w:ascii="仿宋_GB2312" w:hAnsi="仿宋_GB2312" w:eastAsia="仿宋_GB2312" w:cs="仿宋_GB2312"/>
          <w:b/>
          <w:bCs/>
          <w:snapToGrid w:val="0"/>
          <w:color w:val="000000"/>
          <w:kern w:val="0"/>
          <w:sz w:val="32"/>
          <w:szCs w:val="32"/>
          <w:lang w:val="en-US" w:eastAsia="zh-CN" w:bidi="ar"/>
        </w:rPr>
        <w:t>强化新媒体运营</w:t>
      </w:r>
      <w:r>
        <w:rPr>
          <w:rFonts w:hint="eastAsia" w:ascii="仿宋_GB2312" w:hAnsi="仿宋_GB2312" w:eastAsia="仿宋_GB2312" w:cs="仿宋_GB2312"/>
          <w:b/>
          <w:bCs/>
          <w:snapToGrid w:val="0"/>
          <w:color w:val="000000"/>
          <w:kern w:val="0"/>
          <w:sz w:val="32"/>
          <w:szCs w:val="32"/>
          <w:lang w:val="en-US" w:eastAsia="zh-CN" w:bidi="ar"/>
        </w:rPr>
        <w:t>，</w:t>
      </w:r>
      <w:r>
        <w:rPr>
          <w:rFonts w:hint="default" w:ascii="仿宋_GB2312" w:hAnsi="仿宋_GB2312" w:eastAsia="仿宋_GB2312" w:cs="仿宋_GB2312"/>
          <w:b w:val="0"/>
          <w:bCs w:val="0"/>
          <w:snapToGrid w:val="0"/>
          <w:color w:val="000000"/>
          <w:kern w:val="0"/>
          <w:sz w:val="32"/>
          <w:szCs w:val="32"/>
          <w:lang w:val="en-US" w:eastAsia="zh-CN" w:bidi="ar"/>
        </w:rPr>
        <w:t>制定科学的发布计划，增加信息发布频率，丰富内容形式，结合短视频形式，提升信息传播的趣味性和吸引力。</w:t>
      </w:r>
      <w:r>
        <w:rPr>
          <w:rFonts w:hint="eastAsia" w:ascii="仿宋_GB2312" w:hAnsi="仿宋_GB2312" w:eastAsia="仿宋_GB2312" w:cs="仿宋_GB2312"/>
          <w:b/>
          <w:bCs/>
          <w:snapToGrid w:val="0"/>
          <w:color w:val="000000"/>
          <w:kern w:val="0"/>
          <w:sz w:val="32"/>
          <w:szCs w:val="32"/>
          <w:lang w:val="en-US" w:eastAsia="zh-CN" w:bidi="ar"/>
        </w:rPr>
        <w:t>全面注重人才培养，</w:t>
      </w:r>
      <w:r>
        <w:rPr>
          <w:rFonts w:hint="eastAsia" w:ascii="仿宋_GB2312" w:hAnsi="仿宋_GB2312" w:eastAsia="仿宋_GB2312" w:cs="仿宋_GB2312"/>
          <w:snapToGrid w:val="0"/>
          <w:color w:val="000000"/>
          <w:kern w:val="0"/>
          <w:sz w:val="32"/>
          <w:szCs w:val="32"/>
          <w:lang w:val="en-US" w:eastAsia="zh-CN" w:bidi="ar"/>
        </w:rPr>
        <w:t>选派专警参加上级公安机关和党委政府组织的信息公开工作人员业务专题培训，学懂弄通信息公开法规政策、业务流程及新媒体运营技巧等内容，不断提升公安局政务信息公开工作工作质效。</w:t>
      </w:r>
    </w:p>
    <w:p w14:paraId="58A39656">
      <w:pPr>
        <w:keepNext w:val="0"/>
        <w:keepLines w:val="0"/>
        <w:pageBreakBefore w:val="0"/>
        <w:widowControl w:val="0"/>
        <w:kinsoku w:val="0"/>
        <w:wordWrap/>
        <w:overflowPunct/>
        <w:topLinePunct/>
        <w:autoSpaceDE/>
        <w:autoSpaceDN/>
        <w:bidi w:val="0"/>
        <w:adjustRightInd w:val="0"/>
        <w:snapToGrid w:val="0"/>
        <w:spacing w:beforeAutospacing="0" w:afterAutospacing="0" w:line="576" w:lineRule="exact"/>
        <w:ind w:left="0" w:leftChars="0" w:right="0" w:firstLine="604" w:firstLineChars="200"/>
        <w:jc w:val="both"/>
        <w:textAlignment w:val="baseline"/>
        <w:outlineLvl w:val="0"/>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六、其他需要报告的事项</w:t>
      </w:r>
    </w:p>
    <w:p w14:paraId="4E1A32BC">
      <w:pPr>
        <w:keepNext w:val="0"/>
        <w:keepLines w:val="0"/>
        <w:pageBreakBefore w:val="0"/>
        <w:widowControl w:val="0"/>
        <w:kinsoku w:val="0"/>
        <w:wordWrap/>
        <w:overflowPunct/>
        <w:topLinePunct/>
        <w:autoSpaceDE/>
        <w:autoSpaceDN/>
        <w:bidi w:val="0"/>
        <w:adjustRightInd w:val="0"/>
        <w:snapToGrid w:val="0"/>
        <w:spacing w:beforeAutospacing="0" w:afterAutospacing="0" w:line="576" w:lineRule="exact"/>
        <w:ind w:left="0" w:leftChars="0" w:right="0" w:firstLine="736" w:firstLineChars="200"/>
        <w:jc w:val="both"/>
        <w:textAlignment w:val="baseline"/>
        <w:outlineLvl w:val="0"/>
        <w:rPr>
          <w:rFonts w:hint="eastAsia"/>
          <w:lang w:eastAsia="zh-CN"/>
        </w:rPr>
      </w:pPr>
      <w:r>
        <w:rPr>
          <w:rFonts w:hint="eastAsia" w:ascii="仿宋_GB2312" w:hAnsi="仿宋_GB2312" w:eastAsia="仿宋_GB2312" w:cs="仿宋_GB2312"/>
          <w:spacing w:val="24"/>
          <w:sz w:val="32"/>
          <w:szCs w:val="32"/>
          <w:lang w:val="en-US" w:eastAsia="zh-CN"/>
        </w:rPr>
        <w:t>暂无其他需要报告事项。</w:t>
      </w:r>
    </w:p>
    <w:p w14:paraId="218C29E8">
      <w:pPr>
        <w:keepNext w:val="0"/>
        <w:keepLines w:val="0"/>
        <w:pageBreakBefore w:val="0"/>
        <w:widowControl w:val="0"/>
        <w:kinsoku w:val="0"/>
        <w:wordWrap/>
        <w:overflowPunct/>
        <w:topLinePunct/>
        <w:autoSpaceDE/>
        <w:autoSpaceDN/>
        <w:bidi w:val="0"/>
        <w:adjustRightInd w:val="0"/>
        <w:snapToGrid w:val="0"/>
        <w:spacing w:beforeAutospacing="0" w:afterAutospacing="0" w:line="576" w:lineRule="exact"/>
        <w:ind w:left="0" w:leftChars="0" w:right="0" w:firstLine="736" w:firstLineChars="200"/>
        <w:jc w:val="both"/>
        <w:textAlignment w:val="baseline"/>
        <w:outlineLvl w:val="0"/>
        <w:rPr>
          <w:rFonts w:hint="eastAsia" w:ascii="仿宋_GB2312" w:hAnsi="仿宋_GB2312" w:eastAsia="仿宋_GB2312" w:cs="仿宋_GB2312"/>
          <w:spacing w:val="24"/>
          <w:sz w:val="32"/>
          <w:szCs w:val="32"/>
          <w:lang w:eastAsia="zh-CN"/>
        </w:rPr>
      </w:pPr>
    </w:p>
    <w:p w14:paraId="6ED44A92">
      <w:pPr>
        <w:keepNext w:val="0"/>
        <w:keepLines w:val="0"/>
        <w:pageBreakBefore w:val="0"/>
        <w:widowControl w:val="0"/>
        <w:kinsoku w:val="0"/>
        <w:wordWrap/>
        <w:overflowPunct/>
        <w:topLinePunct/>
        <w:autoSpaceDE/>
        <w:autoSpaceDN/>
        <w:bidi w:val="0"/>
        <w:adjustRightInd w:val="0"/>
        <w:snapToGrid w:val="0"/>
        <w:spacing w:line="576" w:lineRule="exact"/>
        <w:ind w:left="0" w:leftChars="0" w:firstLine="5440" w:firstLineChars="17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工布江达县</w:t>
      </w:r>
      <w:r>
        <w:rPr>
          <w:rFonts w:hint="eastAsia" w:ascii="仿宋_GB2312" w:hAnsi="仿宋_GB2312" w:eastAsia="仿宋_GB2312" w:cs="仿宋_GB2312"/>
          <w:sz w:val="32"/>
          <w:szCs w:val="32"/>
          <w:lang w:val="en-US" w:eastAsia="zh-CN"/>
        </w:rPr>
        <w:t>公安局</w:t>
      </w:r>
    </w:p>
    <w:p w14:paraId="1317257E">
      <w:pPr>
        <w:keepNext w:val="0"/>
        <w:keepLines w:val="0"/>
        <w:pageBreakBefore w:val="0"/>
        <w:widowControl w:val="0"/>
        <w:kinsoku w:val="0"/>
        <w:wordWrap/>
        <w:overflowPunct/>
        <w:topLinePunct/>
        <w:autoSpaceDE/>
        <w:autoSpaceDN/>
        <w:bidi w:val="0"/>
        <w:adjustRightInd w:val="0"/>
        <w:snapToGrid w:val="0"/>
        <w:spacing w:beforeAutospacing="0" w:afterAutospacing="0" w:line="576" w:lineRule="exact"/>
        <w:ind w:left="0" w:leftChars="0" w:right="0" w:firstLine="640" w:firstLineChars="200"/>
        <w:jc w:val="both"/>
        <w:textAlignment w:val="baseline"/>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bookmarkStart w:id="0" w:name="_GoBack"/>
      <w:bookmarkEnd w:id="0"/>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13日</w:t>
      </w:r>
    </w:p>
    <w:p w14:paraId="325E9428">
      <w:pPr>
        <w:pStyle w:val="2"/>
        <w:keepNext w:val="0"/>
        <w:keepLines w:val="0"/>
        <w:pageBreakBefore w:val="0"/>
        <w:widowControl w:val="0"/>
        <w:kinsoku w:val="0"/>
        <w:wordWrap/>
        <w:overflowPunct/>
        <w:topLinePunct/>
        <w:autoSpaceDE/>
        <w:autoSpaceDN/>
        <w:bidi w:val="0"/>
        <w:adjustRightInd w:val="0"/>
        <w:snapToGrid w:val="0"/>
        <w:spacing w:after="0" w:line="576" w:lineRule="exact"/>
        <w:ind w:left="0" w:leftChars="0"/>
        <w:jc w:val="both"/>
        <w:textAlignment w:val="baseline"/>
        <w:rPr>
          <w:rFonts w:hint="eastAsia" w:ascii="仿宋_GB2312" w:hAnsi="仿宋_GB2312" w:eastAsia="仿宋_GB2312" w:cs="仿宋_GB2312"/>
          <w:sz w:val="32"/>
          <w:szCs w:val="32"/>
          <w:lang w:val="en-US" w:eastAsia="zh-CN"/>
        </w:rPr>
      </w:pPr>
    </w:p>
    <w:p w14:paraId="0B4CE630">
      <w:pPr>
        <w:bidi w:val="0"/>
        <w:rPr>
          <w:rFonts w:hint="default"/>
          <w:lang w:val="en-US" w:eastAsia="zh-CN"/>
        </w:rPr>
      </w:pPr>
    </w:p>
    <w:sectPr>
      <w:footerReference r:id="rId5" w:type="default"/>
      <w:pgSz w:w="11880" w:h="16840"/>
      <w:pgMar w:top="2098" w:right="1474" w:bottom="1984" w:left="1587" w:header="0" w:footer="595"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07D6C">
    <w:pPr>
      <w:spacing w:before="1" w:line="176" w:lineRule="auto"/>
      <w:rPr>
        <w:rFonts w:ascii="宋体" w:hAnsi="宋体" w:eastAsia="宋体" w:cs="宋体"/>
        <w:sz w:val="29"/>
        <w:szCs w:val="2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BE1401"/>
    <w:rsid w:val="04A44EF6"/>
    <w:rsid w:val="06344F3E"/>
    <w:rsid w:val="0A3F17E4"/>
    <w:rsid w:val="0AA03A6A"/>
    <w:rsid w:val="0B046065"/>
    <w:rsid w:val="10B71ED8"/>
    <w:rsid w:val="11053F07"/>
    <w:rsid w:val="1796247C"/>
    <w:rsid w:val="1B5A39F9"/>
    <w:rsid w:val="1DF21BDD"/>
    <w:rsid w:val="1FB57B5F"/>
    <w:rsid w:val="20A420AE"/>
    <w:rsid w:val="22771736"/>
    <w:rsid w:val="24174B96"/>
    <w:rsid w:val="28E755A5"/>
    <w:rsid w:val="29AF3874"/>
    <w:rsid w:val="29DF4157"/>
    <w:rsid w:val="36C777FB"/>
    <w:rsid w:val="49803E24"/>
    <w:rsid w:val="4AEA6353"/>
    <w:rsid w:val="4DCD18FB"/>
    <w:rsid w:val="4EF11F17"/>
    <w:rsid w:val="50E54D55"/>
    <w:rsid w:val="55953563"/>
    <w:rsid w:val="631657EC"/>
    <w:rsid w:val="656642D1"/>
    <w:rsid w:val="67A31298"/>
    <w:rsid w:val="697A3EBB"/>
    <w:rsid w:val="72440855"/>
    <w:rsid w:val="744523D5"/>
    <w:rsid w:val="749B21D9"/>
    <w:rsid w:val="789415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spacing w:after="100"/>
      <w:ind w:firstLine="420"/>
    </w:pPr>
  </w:style>
  <w:style w:type="paragraph" w:styleId="3">
    <w:name w:val="Body Text Indent"/>
    <w:basedOn w:val="1"/>
    <w:next w:val="4"/>
    <w:unhideWhenUsed/>
    <w:qFormat/>
    <w:uiPriority w:val="99"/>
    <w:pPr>
      <w:spacing w:after="120"/>
      <w:ind w:left="420" w:leftChars="200"/>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Body Text"/>
    <w:basedOn w:val="6"/>
    <w:next w:val="7"/>
    <w:semiHidden/>
    <w:qFormat/>
    <w:uiPriority w:val="0"/>
    <w:rPr>
      <w:rFonts w:ascii="仿宋" w:hAnsi="仿宋" w:eastAsia="仿宋" w:cs="仿宋"/>
      <w:sz w:val="31"/>
      <w:szCs w:val="31"/>
      <w:lang w:val="en-US" w:eastAsia="en-US" w:bidi="ar-SA"/>
    </w:rPr>
  </w:style>
  <w:style w:type="paragraph" w:styleId="6">
    <w:name w:val="Body Text 2"/>
    <w:basedOn w:val="1"/>
    <w:qFormat/>
    <w:uiPriority w:val="0"/>
    <w:pPr>
      <w:spacing w:after="120" w:afterLines="0" w:afterAutospacing="0" w:line="480" w:lineRule="auto"/>
    </w:pPr>
  </w:style>
  <w:style w:type="paragraph" w:customStyle="1" w:styleId="7">
    <w:name w:val="无间隔1"/>
    <w:qFormat/>
    <w:uiPriority w:val="0"/>
    <w:pPr>
      <w:widowControl w:val="0"/>
      <w:jc w:val="both"/>
    </w:pPr>
    <w:rPr>
      <w:rFonts w:ascii="Calibri" w:hAnsi="Calibri" w:eastAsia="宋体" w:cs="Times New Roman"/>
      <w:kern w:val="2"/>
      <w:sz w:val="21"/>
      <w:szCs w:val="24"/>
      <w:lang w:val="en-US" w:eastAsia="zh-CN" w:bidi="ar-SA"/>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6"/>
      <w:szCs w:val="26"/>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1826</Words>
  <Characters>1901</Characters>
  <TotalTime>2</TotalTime>
  <ScaleCrop>false</ScaleCrop>
  <LinksUpToDate>false</LinksUpToDate>
  <CharactersWithSpaces>2072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2025-01-13T12:15:00Z</dcterms:created>
  <dc:creator>Kingsoft-PDF</dc:creator>
  <cp:lastModifiedBy>kilm </cp:lastModifiedBy>
  <cp:lastPrinted>2025-01-13T10:11:00Z</cp:lastPrinted>
  <dcterms:modified xsi:type="dcterms:W3CDTF">2025-02-10T09:28:10Z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2025-01-13T12:15:32Z</vt:filetime>
  </property>
  <property fmtid="{D5CDD505-2E9C-101B-9397-08002B2CF9AE}" pid="4" name="UsrData">
    <vt:lpwstr>67849360d0534a001fc85c36wl</vt:lpwstr>
  </property>
  <property fmtid="{D5CDD505-2E9C-101B-9397-08002B2CF9AE}" pid="5" name="KSOTemplateDocerSaveRecord">
    <vt:lpwstr>eyJoZGlkIjoiZjc5NmFkMmI5NWQwYzY1NjkyZmI2NjQzNmU4MTE1NWIiLCJ1c2VySWQiOiIzMTExMTUyNDkifQ==</vt:lpwstr>
  </property>
  <property fmtid="{D5CDD505-2E9C-101B-9397-08002B2CF9AE}" pid="6" name="KSOProductBuildVer">
    <vt:lpwstr>2052-12.1.0.19770</vt:lpwstr>
  </property>
  <property fmtid="{D5CDD505-2E9C-101B-9397-08002B2CF9AE}" pid="7" name="ICV">
    <vt:lpwstr>2463E44C88454F7BA83D4D8A852535B5_13</vt:lpwstr>
  </property>
</Properties>
</file>