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工布江达县民政局2022年政府信息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要求，现公布林芝市工布江达县民政局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公众如需进一步咨询了解相关信息，可与我单位联系（单位地址：工布江达县民政局；联系方式：0894-5413889；电子邮箱：gbjdxmzj@163.com；邮编860200）。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（一）主动公开情况。2022年我局严格按照依申请公开政府信息工作制度，保障工作的顺利执行。本年无主动公开事项。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（二）依申请公开情况。2022年未收到依申请公开事项。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加强政务信息日常管理，对政务信息进行规范管理，规范发布规范性文件等重要政务信息。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民政局政府信息公开指南，依法保障广大公众对民政工作的知情权、参与权和监督权；发布工布江达县民政局依申请公开对外办理流程、规范审核流程，做到应当主动公开的，严格按规定及时予以发布，保证信息公开的规范性、时效性和准确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高度重视政府信息公开工作，始终把政府信息公开工作纳入重要议事日程，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调整充实</w:t>
      </w:r>
      <w:r>
        <w:rPr>
          <w:rFonts w:hint="eastAsia" w:ascii="仿宋_GB2312" w:hAnsi="仿宋_GB2312" w:eastAsia="仿宋_GB2312" w:cs="仿宋_GB2312"/>
          <w:sz w:val="32"/>
          <w:szCs w:val="32"/>
        </w:rPr>
        <w:t>工布江达县民政局政府信息公开工作领导小组，明确具体负责科室与负责人，制定工作职责，确保政府信息公开工作顺利开展。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2022年，我局未接到政府信息公开工作的投诉电话。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信息公开意识还有待提高，信息公开的广度深度还不够，内容还不能完全满足社会公众需求。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宣传力度不够，公众对信息公开的知晓率和参与度有待提高。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政务公开的队伍力量有待加强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改进措施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将进一步丰富公开内容，努力扩大信息来源，对原有的政务信息公开内容进行完善，保证各类公开信息的完整性和准确性。加大宣传，提高公众对政府政务信息公开的知晓率和参与度，同时，加强政务信息公开的业务学习，不断提升政务信息公开整体工作水平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工布江达县民政局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 w:firstLine="5440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81163FE"/>
    <w:rsid w:val="0889068B"/>
    <w:rsid w:val="09385C0D"/>
    <w:rsid w:val="0C2C37FB"/>
    <w:rsid w:val="0CFF53BF"/>
    <w:rsid w:val="0DD26630"/>
    <w:rsid w:val="0EB75826"/>
    <w:rsid w:val="12CD5618"/>
    <w:rsid w:val="14A03A15"/>
    <w:rsid w:val="150A2B53"/>
    <w:rsid w:val="15D82425"/>
    <w:rsid w:val="16E66CA8"/>
    <w:rsid w:val="1C6C588B"/>
    <w:rsid w:val="1DBFF5F3"/>
    <w:rsid w:val="24A501A2"/>
    <w:rsid w:val="26555993"/>
    <w:rsid w:val="279E2928"/>
    <w:rsid w:val="2996455E"/>
    <w:rsid w:val="2A716921"/>
    <w:rsid w:val="30336FAA"/>
    <w:rsid w:val="35447F80"/>
    <w:rsid w:val="35AB2081"/>
    <w:rsid w:val="36CA3A99"/>
    <w:rsid w:val="387D5266"/>
    <w:rsid w:val="38E5457B"/>
    <w:rsid w:val="3E126451"/>
    <w:rsid w:val="42EA174A"/>
    <w:rsid w:val="4378500D"/>
    <w:rsid w:val="441647C1"/>
    <w:rsid w:val="48111527"/>
    <w:rsid w:val="48943F06"/>
    <w:rsid w:val="4BC863A1"/>
    <w:rsid w:val="4C5C2F8D"/>
    <w:rsid w:val="4E795E61"/>
    <w:rsid w:val="4F7A5C04"/>
    <w:rsid w:val="53EFC7C2"/>
    <w:rsid w:val="5563713A"/>
    <w:rsid w:val="55F04E72"/>
    <w:rsid w:val="56282C71"/>
    <w:rsid w:val="56EE7E34"/>
    <w:rsid w:val="57B819BF"/>
    <w:rsid w:val="5B7C71A8"/>
    <w:rsid w:val="5B8D4F11"/>
    <w:rsid w:val="5DC146C5"/>
    <w:rsid w:val="66082995"/>
    <w:rsid w:val="6D39074B"/>
    <w:rsid w:val="6D626D7E"/>
    <w:rsid w:val="6DEB92A9"/>
    <w:rsid w:val="72067ECC"/>
    <w:rsid w:val="75DF7151"/>
    <w:rsid w:val="792E0658"/>
    <w:rsid w:val="794D6C70"/>
    <w:rsid w:val="794F1482"/>
    <w:rsid w:val="79E24222"/>
    <w:rsid w:val="7F337241"/>
    <w:rsid w:val="7F912972"/>
    <w:rsid w:val="7FFB4273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1895</Words>
  <Characters>2008</Characters>
  <Lines>0</Lines>
  <Paragraphs>0</Paragraphs>
  <TotalTime>5</TotalTime>
  <ScaleCrop>false</ScaleCrop>
  <LinksUpToDate>false</LinksUpToDate>
  <CharactersWithSpaces>2037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2020-12-27T02:16:00Z</cp:lastPrinted>
  <dcterms:modified xsi:type="dcterms:W3CDTF">2023-01-31T04:11:47Z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2597BD55961F41639F6CED89BF7D5808</vt:lpwstr>
  </property>
</Properties>
</file>