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r>
        <w:rPr>
          <w:rFonts w:hint="eastAsia" w:ascii="方正小标宋简体" w:hAnsi="方正小标宋简体" w:eastAsia="方正小标宋简体" w:cs="方正小标宋简体"/>
          <w:b w:val="0"/>
          <w:bCs w:val="0"/>
          <w:color w:val="333333"/>
          <w:kern w:val="0"/>
          <w:sz w:val="44"/>
          <w:szCs w:val="44"/>
          <w:lang w:eastAsia="zh-CN"/>
        </w:rPr>
        <w:t>工布江达县</w:t>
      </w:r>
      <w:r>
        <w:rPr>
          <w:rFonts w:hint="eastAsia" w:ascii="方正小标宋简体" w:hAnsi="方正小标宋简体" w:eastAsia="方正小标宋简体" w:cs="方正小标宋简体"/>
          <w:b w:val="0"/>
          <w:bCs w:val="0"/>
          <w:color w:val="333333"/>
          <w:kern w:val="0"/>
          <w:sz w:val="44"/>
          <w:szCs w:val="44"/>
          <w:lang w:val="en-US" w:eastAsia="zh-CN"/>
        </w:rPr>
        <w:t>医疗保障局2022年政府信息公开</w:t>
      </w:r>
    </w:p>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r>
        <w:rPr>
          <w:rFonts w:hint="eastAsia" w:ascii="方正小标宋简体" w:hAnsi="方正小标宋简体" w:eastAsia="方正小标宋简体" w:cs="方正小标宋简体"/>
          <w:b w:val="0"/>
          <w:bCs w:val="0"/>
          <w:color w:val="333333"/>
          <w:kern w:val="0"/>
          <w:sz w:val="44"/>
          <w:szCs w:val="44"/>
          <w:lang w:val="en-US" w:eastAsia="zh-CN"/>
        </w:rPr>
        <w:t>工作年度报告</w:t>
      </w:r>
    </w:p>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widowControl/>
        <w:spacing w:line="576"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根据《中华人民共和国政</w:t>
      </w:r>
      <w:bookmarkStart w:id="0" w:name="_GoBack"/>
      <w:bookmarkEnd w:id="0"/>
      <w:r>
        <w:rPr>
          <w:rFonts w:hint="eastAsia" w:ascii="仿宋_GB2312" w:hAnsi="仿宋_GB2312" w:eastAsia="仿宋_GB2312" w:cs="仿宋_GB2312"/>
          <w:sz w:val="32"/>
          <w:szCs w:val="32"/>
        </w:rPr>
        <w:t>府信息公开条例》(国务院令第711号，以下简称《条例》)以及《国务院办公厅政府信息与政务公开办公室关于印发&lt;中华人民共和国政府信息公开工作年度报告格式&gt;的通知》（国办公开办函〔2021〕30号）要求，</w:t>
      </w:r>
      <w:r>
        <w:rPr>
          <w:rFonts w:hint="eastAsia" w:ascii="仿宋_GB2312" w:hAnsi="仿宋_GB2312" w:eastAsia="仿宋_GB2312" w:cs="仿宋_GB2312"/>
          <w:sz w:val="32"/>
          <w:szCs w:val="32"/>
          <w:lang w:val="en-US" w:eastAsia="zh-CN"/>
        </w:rPr>
        <w:t>现公布工布江达县医疗保障局2022年政府信息公开工作年度报告。</w:t>
      </w:r>
    </w:p>
    <w:p>
      <w:pPr>
        <w:widowControl/>
        <w:spacing w:line="576"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部分。除特别说明的外，所列数据统计时限为2022年1月1日至2022年12月31日。</w:t>
      </w:r>
      <w:r>
        <w:rPr>
          <w:rFonts w:hint="eastAsia" w:ascii="仿宋_GB2312" w:hAnsi="仿宋_GB2312" w:eastAsia="仿宋_GB2312" w:cs="仿宋_GB2312"/>
          <w:sz w:val="32"/>
          <w:szCs w:val="32"/>
        </w:rPr>
        <w:t>报告电子版可在林芝市工布江达县人民政府网下载(</w:t>
      </w:r>
      <w:r>
        <w:rPr>
          <w:rFonts w:ascii="仿宋_GB2312" w:hAnsi="仿宋_GB2312" w:eastAsia="仿宋_GB2312" w:cs="仿宋_GB2312"/>
          <w:sz w:val="32"/>
          <w:szCs w:val="32"/>
        </w:rPr>
        <w:t>http://www.gongbujiangda.gov.cn/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公众如需进一步咨询了解相关信息，请与林芝市工布江达县医疗保障局联系（单位地址：工布江达县新区；邮编860200；联系方式：0894-5939600）。</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333333"/>
          <w:kern w:val="0"/>
          <w:sz w:val="32"/>
          <w:szCs w:val="32"/>
          <w:lang w:eastAsia="zh-CN"/>
        </w:rPr>
        <w:t>一、</w:t>
      </w:r>
      <w:r>
        <w:rPr>
          <w:rFonts w:hint="eastAsia" w:ascii="黑体" w:hAnsi="黑体" w:eastAsia="黑体" w:cs="黑体"/>
          <w:b w:val="0"/>
          <w:bCs w:val="0"/>
          <w:color w:val="333333"/>
          <w:kern w:val="0"/>
          <w:sz w:val="32"/>
          <w:szCs w:val="32"/>
        </w:rPr>
        <w:t>总体情况</w:t>
      </w:r>
      <w:r>
        <w:rPr>
          <w:rFonts w:hint="eastAsia" w:ascii="仿宋_GB2312" w:hAnsi="仿宋_GB2312" w:eastAsia="仿宋_GB2312" w:cs="仿宋_GB2312"/>
          <w:b w:val="0"/>
          <w:bCs w:val="0"/>
          <w:color w:val="FF0000"/>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（一）主动公开情况。</w:t>
      </w:r>
      <w:r>
        <w:rPr>
          <w:rFonts w:hint="eastAsia" w:ascii="仿宋_GB2312" w:hAnsi="仿宋_GB2312" w:eastAsia="仿宋_GB2312" w:cs="仿宋_GB2312"/>
          <w:sz w:val="32"/>
          <w:szCs w:val="32"/>
          <w:lang w:val="en-US" w:eastAsia="zh-CN"/>
        </w:rPr>
        <w:t>2022年度无主动公开情况。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（二）依申请公开情况。</w:t>
      </w:r>
      <w:r>
        <w:rPr>
          <w:rFonts w:hint="eastAsia" w:ascii="仿宋_GB2312" w:hAnsi="仿宋_GB2312" w:eastAsia="仿宋_GB2312" w:cs="仿宋_GB2312"/>
          <w:sz w:val="32"/>
          <w:szCs w:val="32"/>
          <w:lang w:val="en-US" w:eastAsia="zh-CN"/>
        </w:rPr>
        <w:t>无依申请公开情况。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（三）政府信息管理情况。</w:t>
      </w:r>
      <w:r>
        <w:rPr>
          <w:rFonts w:hint="eastAsia" w:ascii="仿宋_GB2312" w:hAnsi="仿宋_GB2312" w:eastAsia="仿宋_GB2312" w:cs="仿宋_GB2312"/>
          <w:b w:val="0"/>
          <w:bCs w:val="0"/>
          <w:color w:val="333333"/>
          <w:kern w:val="0"/>
          <w:sz w:val="32"/>
          <w:szCs w:val="32"/>
          <w:lang w:val="en-US" w:eastAsia="zh-CN" w:bidi="ar-SA"/>
        </w:rPr>
        <w:t>局班子高度重视政务公开工作，</w:t>
      </w:r>
      <w:r>
        <w:rPr>
          <w:rFonts w:hint="eastAsia" w:ascii="仿宋_GB2312" w:hAnsi="仿宋_GB2312" w:eastAsia="仿宋_GB2312" w:cs="仿宋_GB2312"/>
          <w:b w:val="0"/>
          <w:bCs w:val="0"/>
          <w:color w:val="333333"/>
          <w:kern w:val="0"/>
          <w:sz w:val="32"/>
          <w:szCs w:val="32"/>
          <w:lang w:val="en-US" w:eastAsia="zh-CN"/>
        </w:rPr>
        <w:t>把做好政务公开工作列入重要议事日程。</w:t>
      </w:r>
      <w:r>
        <w:rPr>
          <w:rFonts w:hint="eastAsia" w:ascii="仿宋_GB2312" w:hAnsi="仿宋_GB2312" w:eastAsia="仿宋_GB2312" w:cs="仿宋_GB2312"/>
          <w:b w:val="0"/>
          <w:bCs w:val="0"/>
          <w:color w:val="333333"/>
          <w:kern w:val="0"/>
          <w:sz w:val="32"/>
          <w:szCs w:val="32"/>
          <w:lang w:val="en-US" w:eastAsia="zh-CN" w:bidi="ar-SA"/>
        </w:rPr>
        <w:t>由一把手作为政务公开的第一责任人，明确局办公室作为政务信息公开的职能科室，</w:t>
      </w:r>
      <w:r>
        <w:rPr>
          <w:rFonts w:hint="eastAsia" w:ascii="仿宋_GB2312" w:hAnsi="仿宋_GB2312" w:eastAsia="仿宋_GB2312" w:cs="仿宋_GB2312"/>
          <w:sz w:val="32"/>
          <w:szCs w:val="32"/>
          <w:lang w:val="en-US" w:eastAsia="zh-CN"/>
        </w:rPr>
        <w:t>确定专人负责本单位信息发布，全面</w:t>
      </w:r>
      <w:r>
        <w:rPr>
          <w:rFonts w:hint="eastAsia" w:ascii="仿宋_GB2312" w:hAnsi="仿宋_GB2312" w:eastAsia="仿宋_GB2312" w:cs="仿宋_GB2312"/>
          <w:b w:val="0"/>
          <w:bCs w:val="0"/>
          <w:color w:val="333333"/>
          <w:kern w:val="0"/>
          <w:sz w:val="32"/>
          <w:szCs w:val="32"/>
          <w:lang w:val="en-US" w:eastAsia="zh-CN" w:bidi="ar-SA"/>
        </w:rPr>
        <w:t>协</w:t>
      </w:r>
      <w:r>
        <w:rPr>
          <w:rFonts w:hint="eastAsia" w:ascii="仿宋_GB2312" w:hAnsi="仿宋_GB2312" w:eastAsia="仿宋_GB2312" w:cs="仿宋_GB2312"/>
          <w:b w:val="0"/>
          <w:bCs w:val="0"/>
          <w:color w:val="333333"/>
          <w:kern w:val="0"/>
          <w:sz w:val="32"/>
          <w:szCs w:val="32"/>
          <w:lang w:val="en-US" w:eastAsia="zh-CN"/>
        </w:rPr>
        <w:t>调处理日常事务,</w:t>
      </w:r>
      <w:r>
        <w:rPr>
          <w:rFonts w:hint="eastAsia" w:ascii="仿宋_GB2312" w:hAnsi="仿宋_GB2312" w:eastAsia="仿宋_GB2312" w:cs="仿宋_GB2312"/>
          <w:sz w:val="32"/>
          <w:szCs w:val="32"/>
          <w:lang w:val="en-US" w:eastAsia="zh-CN"/>
        </w:rPr>
        <w:t>落实信息公开审查制度，从政治导向、语言文字、政策法律、公民隐私等各方面进行把关,</w:t>
      </w:r>
      <w:r>
        <w:rPr>
          <w:rFonts w:hint="eastAsia" w:ascii="仿宋_GB2312" w:hAnsi="仿宋_GB2312" w:eastAsia="仿宋_GB2312" w:cs="仿宋_GB2312"/>
          <w:b w:val="0"/>
          <w:bCs w:val="0"/>
          <w:color w:val="333333"/>
          <w:kern w:val="0"/>
          <w:sz w:val="32"/>
          <w:szCs w:val="32"/>
          <w:lang w:val="en-US" w:eastAsia="zh-CN"/>
        </w:rPr>
        <w:t>及时完成公开要求</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（四）政府信息公开平台建设情况。</w:t>
      </w:r>
      <w:r>
        <w:rPr>
          <w:rFonts w:hint="eastAsia" w:ascii="仿宋_GB2312" w:hAnsi="仿宋_GB2312" w:eastAsia="仿宋_GB2312" w:cs="仿宋_GB2312"/>
          <w:sz w:val="32"/>
          <w:szCs w:val="32"/>
          <w:lang w:val="en-US" w:eastAsia="zh-CN"/>
        </w:rPr>
        <w:t>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jc w:val="both"/>
        <w:textAlignment w:val="auto"/>
        <w:outlineLvl w:val="9"/>
        <w:rPr>
          <w:rFonts w:hint="eastAsia" w:ascii="仿宋_GB2312" w:hAnsi="仿宋_GB2312" w:eastAsia="仿宋_GB2312" w:cs="仿宋_GB2312"/>
          <w:b w:val="0"/>
          <w:bCs w:val="0"/>
          <w:color w:val="333333"/>
          <w:kern w:val="0"/>
          <w:sz w:val="32"/>
          <w:szCs w:val="32"/>
          <w:lang w:val="en-US" w:eastAsia="zh-CN" w:bidi="ar-SA"/>
        </w:rPr>
      </w:pPr>
      <w:r>
        <w:rPr>
          <w:rFonts w:hint="eastAsia" w:ascii="楷体" w:hAnsi="楷体" w:eastAsia="楷体" w:cs="楷体"/>
          <w:sz w:val="32"/>
          <w:szCs w:val="32"/>
          <w:lang w:val="en-US" w:eastAsia="zh-CN"/>
        </w:rPr>
        <w:t>　　（五）监督保障情况。</w:t>
      </w:r>
      <w:r>
        <w:rPr>
          <w:rFonts w:hint="eastAsia" w:ascii="仿宋_GB2312" w:hAnsi="仿宋_GB2312" w:eastAsia="仿宋_GB2312" w:cs="仿宋_GB2312"/>
          <w:sz w:val="32"/>
          <w:szCs w:val="32"/>
          <w:lang w:val="en-US" w:eastAsia="zh-CN"/>
        </w:rPr>
        <w:t>进一步推进政府信息公开工作科学化、规范化。规范上网信息公开审查制度，所有信息都经过分管领导审核后，重要信息由主要领导审定后报县政府、县委宣传部方能发布，进一步完善信息发布的流程管理。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widowControl/>
        <w:spacing w:line="576" w:lineRule="exact"/>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outlineLvl w:val="9"/>
        <w:rPr>
          <w:rFonts w:hint="eastAsia" w:ascii="仿宋_GB2312" w:hAnsi="仿宋_GB2312" w:eastAsia="仿宋_GB2312" w:cs="仿宋_GB2312"/>
          <w:b w:val="0"/>
          <w:bCs w:val="0"/>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 xml:space="preserve">    （一）存在问题。一是</w:t>
      </w:r>
      <w:r>
        <w:rPr>
          <w:rFonts w:hint="eastAsia" w:ascii="仿宋_GB2312" w:hAnsi="仿宋_GB2312" w:eastAsia="仿宋_GB2312" w:cs="仿宋_GB2312"/>
          <w:b w:val="0"/>
          <w:bCs w:val="0"/>
          <w:color w:val="333333"/>
          <w:kern w:val="0"/>
          <w:sz w:val="32"/>
          <w:szCs w:val="32"/>
          <w:lang w:val="en-US" w:eastAsia="zh-CN" w:bidi="ar-SA"/>
        </w:rPr>
        <w:t>政策解读的形式上还有待进一步丰富；</w:t>
      </w:r>
      <w:r>
        <w:rPr>
          <w:rFonts w:hint="eastAsia" w:ascii="仿宋_GB2312" w:hAnsi="仿宋_GB2312" w:eastAsia="仿宋_GB2312" w:cs="仿宋_GB2312"/>
          <w:b/>
          <w:bCs/>
          <w:color w:val="333333"/>
          <w:kern w:val="0"/>
          <w:sz w:val="32"/>
          <w:szCs w:val="32"/>
          <w:lang w:val="en-US" w:eastAsia="zh-CN" w:bidi="ar-SA"/>
        </w:rPr>
        <w:t>二是</w:t>
      </w:r>
      <w:r>
        <w:rPr>
          <w:rFonts w:hint="eastAsia" w:ascii="仿宋_GB2312" w:hAnsi="仿宋_GB2312" w:eastAsia="仿宋_GB2312" w:cs="仿宋_GB2312"/>
          <w:b w:val="0"/>
          <w:bCs w:val="0"/>
          <w:color w:val="333333"/>
          <w:kern w:val="0"/>
          <w:sz w:val="32"/>
          <w:szCs w:val="32"/>
          <w:lang w:val="en-US" w:eastAsia="zh-CN" w:bidi="ar-SA"/>
        </w:rPr>
        <w:t>政务公开工作没有及时开展，单位工作人员对政务公开工作认识不足，重视程度不够 ；</w:t>
      </w:r>
      <w:r>
        <w:rPr>
          <w:rFonts w:hint="eastAsia" w:ascii="仿宋_GB2312" w:hAnsi="仿宋_GB2312" w:eastAsia="仿宋_GB2312" w:cs="仿宋_GB2312"/>
          <w:b/>
          <w:bCs/>
          <w:color w:val="333333"/>
          <w:kern w:val="0"/>
          <w:sz w:val="32"/>
          <w:szCs w:val="32"/>
          <w:lang w:val="en-US" w:eastAsia="zh-CN" w:bidi="ar-SA"/>
        </w:rPr>
        <w:t>三是</w:t>
      </w:r>
      <w:r>
        <w:rPr>
          <w:rFonts w:hint="eastAsia" w:ascii="仿宋_GB2312" w:hAnsi="仿宋_GB2312" w:eastAsia="仿宋_GB2312" w:cs="仿宋_GB2312"/>
          <w:b w:val="0"/>
          <w:bCs w:val="0"/>
          <w:color w:val="333333"/>
          <w:kern w:val="0"/>
          <w:sz w:val="32"/>
          <w:szCs w:val="32"/>
          <w:lang w:val="en-US" w:eastAsia="zh-CN" w:bidi="ar-SA"/>
        </w:rPr>
        <w:t>政务信息公开机制有待进一步健全。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outlineLvl w:val="9"/>
        <w:rPr>
          <w:rFonts w:hint="eastAsia" w:ascii="仿宋_GB2312" w:hAnsi="仿宋_GB2312" w:eastAsia="仿宋_GB2312" w:cs="仿宋_GB2312"/>
          <w:b w:val="0"/>
          <w:bCs w:val="0"/>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 xml:space="preserve">    （二）改进方向。一是</w:t>
      </w:r>
      <w:r>
        <w:rPr>
          <w:rFonts w:hint="eastAsia" w:ascii="仿宋_GB2312" w:hAnsi="仿宋_GB2312" w:eastAsia="仿宋_GB2312" w:cs="仿宋_GB2312"/>
          <w:b w:val="0"/>
          <w:bCs w:val="0"/>
          <w:color w:val="333333"/>
          <w:kern w:val="0"/>
          <w:sz w:val="32"/>
          <w:szCs w:val="32"/>
          <w:lang w:val="en-US" w:eastAsia="zh-CN" w:bidi="ar-SA"/>
        </w:rPr>
        <w:t>进一步深化公开内容。突出公开重点，进一步加大对行政执法信息公开、机构与人事信息、医疗救助、药品集中采购信息公开、建议提案办理等多方面的工作以及涉及群众切身利益情况的公开力度，提高公开透明度。</w:t>
      </w:r>
      <w:r>
        <w:rPr>
          <w:rFonts w:hint="eastAsia" w:ascii="仿宋_GB2312" w:hAnsi="仿宋_GB2312" w:eastAsia="仿宋_GB2312" w:cs="仿宋_GB2312"/>
          <w:b/>
          <w:bCs/>
          <w:color w:val="333333"/>
          <w:kern w:val="0"/>
          <w:sz w:val="32"/>
          <w:szCs w:val="32"/>
          <w:lang w:val="en-US" w:eastAsia="zh-CN" w:bidi="ar-SA"/>
        </w:rPr>
        <w:t>二是</w:t>
      </w:r>
      <w:r>
        <w:rPr>
          <w:rFonts w:hint="eastAsia" w:ascii="仿宋_GB2312" w:hAnsi="仿宋_GB2312" w:eastAsia="仿宋_GB2312" w:cs="仿宋_GB2312"/>
          <w:b w:val="0"/>
          <w:bCs w:val="0"/>
          <w:color w:val="333333"/>
          <w:kern w:val="0"/>
          <w:sz w:val="32"/>
          <w:szCs w:val="32"/>
          <w:lang w:val="en-US" w:eastAsia="zh-CN" w:bidi="ar-SA"/>
        </w:rPr>
        <w:t>进一步强化政策解读。做好重大政策解读工作，坚持政策性文件与解读方案、解读材料同步组织、同步部署。利用各种形式，加大解读力度，尝试用群众听得懂的语言、看得到的方式公开信息。</w:t>
      </w:r>
      <w:r>
        <w:rPr>
          <w:rFonts w:hint="eastAsia" w:ascii="仿宋_GB2312" w:hAnsi="仿宋_GB2312" w:eastAsia="仿宋_GB2312" w:cs="仿宋_GB2312"/>
          <w:b/>
          <w:bCs/>
          <w:color w:val="333333"/>
          <w:kern w:val="0"/>
          <w:sz w:val="32"/>
          <w:szCs w:val="32"/>
          <w:lang w:val="en-US" w:eastAsia="zh-CN" w:bidi="ar-SA"/>
        </w:rPr>
        <w:t>三是</w:t>
      </w:r>
      <w:r>
        <w:rPr>
          <w:rFonts w:hint="eastAsia" w:ascii="仿宋_GB2312" w:hAnsi="仿宋_GB2312" w:eastAsia="仿宋_GB2312" w:cs="仿宋_GB2312"/>
          <w:b w:val="0"/>
          <w:bCs w:val="0"/>
          <w:color w:val="333333"/>
          <w:kern w:val="0"/>
          <w:sz w:val="32"/>
          <w:szCs w:val="32"/>
          <w:lang w:val="en-US" w:eastAsia="zh-CN" w:bidi="ar-SA"/>
        </w:rPr>
        <w:t>应加强对负责政务公开业务人员的督导，提高认识，积极贯彻落实上级有关文件精神，做好本单位政府信息公开工作，及时更新内容，服务于百姓，将人民的需求放在首要位置。</w:t>
      </w:r>
    </w:p>
    <w:p>
      <w:pPr>
        <w:widowControl/>
        <w:spacing w:line="576" w:lineRule="exact"/>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六、其他需要报告的事项</w:t>
      </w:r>
    </w:p>
    <w:p>
      <w:pPr>
        <w:spacing w:line="576" w:lineRule="exact"/>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lang w:eastAsia="zh-CN"/>
        </w:rPr>
        <w:t>无其他需要报告事项。</w:t>
      </w:r>
    </w:p>
    <w:p>
      <w:pPr>
        <w:spacing w:line="540" w:lineRule="exact"/>
        <w:ind w:firstLine="3520" w:firstLineChars="1100"/>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 </w:t>
      </w:r>
    </w:p>
    <w:p>
      <w:pPr>
        <w:spacing w:line="540" w:lineRule="exact"/>
        <w:ind w:firstLine="3520" w:firstLineChars="1100"/>
        <w:rPr>
          <w:rFonts w:hint="eastAsia" w:ascii="仿宋_GB2312" w:hAnsi="仿宋_GB2312" w:eastAsia="仿宋_GB2312" w:cs="仿宋_GB2312"/>
          <w:color w:val="333333"/>
          <w:kern w:val="0"/>
          <w:sz w:val="32"/>
          <w:szCs w:val="32"/>
          <w:lang w:val="en-US" w:eastAsia="zh-CN"/>
        </w:rPr>
      </w:pPr>
    </w:p>
    <w:p>
      <w:pPr>
        <w:spacing w:line="540" w:lineRule="exact"/>
        <w:ind w:firstLine="3520" w:firstLineChars="1100"/>
        <w:rPr>
          <w:rFonts w:hint="eastAsia" w:ascii="仿宋_GB2312" w:hAnsi="仿宋_GB2312" w:eastAsia="仿宋_GB2312" w:cs="仿宋_GB2312"/>
          <w:color w:val="333333"/>
          <w:kern w:val="0"/>
          <w:sz w:val="32"/>
          <w:szCs w:val="32"/>
          <w:lang w:val="en-US" w:eastAsia="zh-CN"/>
        </w:rPr>
      </w:pPr>
    </w:p>
    <w:p>
      <w:pPr>
        <w:spacing w:line="540" w:lineRule="exact"/>
        <w:ind w:firstLine="3520" w:firstLineChars="1100"/>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  工布江达县医疗保障局</w:t>
      </w:r>
    </w:p>
    <w:p>
      <w:pPr>
        <w:spacing w:line="540" w:lineRule="exact"/>
        <w:ind w:firstLine="3520" w:firstLineChars="1100"/>
        <w:rPr>
          <w:rFonts w:hint="eastAsia" w:ascii="方正仿宋_GBK" w:eastAsia="方正仿宋_GBK"/>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    2023年1月12日</w:t>
      </w:r>
    </w:p>
    <w:p/>
    <w:sectPr>
      <w:footerReference r:id="rId3" w:type="default"/>
      <w:footerReference r:id="rId4" w:type="even"/>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3876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2098</Words>
  <Characters>2194</Characters>
  <Lines>0</Lines>
  <Paragraphs>0</Paragraphs>
  <TotalTime>0</TotalTime>
  <ScaleCrop>false</ScaleCrop>
  <LinksUpToDate>false</LinksUpToDate>
  <CharactersWithSpaces>2231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2023-01-31T09:38:30Z</dcterms:created>
  <dc:creator>Zf105</dc:creator>
  <cp:lastModifiedBy>WPS_1660554186</cp:lastModifiedBy>
  <dcterms:modified xsi:type="dcterms:W3CDTF">2023-01-31T09:38:37Z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2090958D3CB24B0DB8547E4B4F5CD173</vt:lpwstr>
  </property>
</Properties>
</file>