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工布江达县财政局2021年政府信息公开工作年度报告</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华人民共和国政府信息公开条例》(国务院令第711号，以下简称《条例》)以及《国务院办公厅政府信息与政务公开办公室关于印发&lt;中华人民共和国政府信息公开工作年度报告格式&gt;的通知》（国办公开办函〔2021〕30号）要求，现公布林芝市工布江达县财政局2021年政府信息公开工作年度报告。</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报告包括总体情况、主动公开政府信息情况、收到和处理政府信息公开申请情况、政府信息公开行政复议和行政诉讼情况、存在的主要问题及改进情况、其他需要报告的事项等六个部分。除特别说明外，所列数据统计时限为2021年1月1日至2021年12月31日。</w:t>
      </w:r>
      <w:r>
        <w:rPr>
          <w:rFonts w:hint="eastAsia" w:ascii="仿宋_GB2312" w:hAnsi="仿宋_GB2312" w:eastAsia="仿宋_GB2312" w:cs="仿宋_GB2312"/>
          <w:i w:val="0"/>
          <w:iCs w:val="0"/>
          <w:caps w:val="0"/>
          <w:color w:val="333333"/>
          <w:spacing w:val="0"/>
          <w:sz w:val="32"/>
          <w:szCs w:val="32"/>
          <w:shd w:val="clear" w:fill="FFFFFF"/>
        </w:rPr>
        <w:t>公众如需进一步咨询了解相关信息，可与我单位联系（单位地址：</w:t>
      </w:r>
      <w:r>
        <w:rPr>
          <w:rFonts w:hint="eastAsia" w:ascii="仿宋_GB2312" w:hAnsi="仿宋_GB2312" w:eastAsia="仿宋_GB2312" w:cs="仿宋_GB2312"/>
          <w:sz w:val="32"/>
          <w:szCs w:val="32"/>
          <w:lang w:val="en-US" w:eastAsia="zh-CN"/>
        </w:rPr>
        <w:t>工布江达县财政局；联系方式：5412650；电子邮箱：gbjxczj@163.com；邮编860200）。</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总体情况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宋体" w:eastAsia="仿宋_GB2312" w:cs="仿宋_GB2312"/>
          <w:i w:val="0"/>
          <w:iCs w:val="0"/>
          <w:caps w:val="0"/>
          <w:color w:val="000000"/>
          <w:spacing w:val="0"/>
          <w:sz w:val="32"/>
          <w:szCs w:val="32"/>
          <w:shd w:val="clear" w:fill="FFFFFF"/>
        </w:rPr>
      </w:pPr>
      <w:r>
        <w:rPr>
          <w:rFonts w:ascii="仿宋_GB2312" w:hAnsi="宋体" w:eastAsia="仿宋_GB2312" w:cs="仿宋_GB2312"/>
          <w:i w:val="0"/>
          <w:iCs w:val="0"/>
          <w:caps w:val="0"/>
          <w:color w:val="000000"/>
          <w:spacing w:val="0"/>
          <w:sz w:val="32"/>
          <w:szCs w:val="32"/>
          <w:shd w:val="clear" w:fill="FFFFFF"/>
        </w:rPr>
        <w:t>县财政局严格按照《中华人民共和国政府信息公开条例》</w:t>
      </w:r>
      <w:r>
        <w:rPr>
          <w:rFonts w:hint="eastAsia" w:ascii="仿宋_GB2312" w:hAnsi="宋体" w:eastAsia="仿宋_GB2312" w:cs="仿宋_GB2312"/>
          <w:i w:val="0"/>
          <w:iCs w:val="0"/>
          <w:caps w:val="0"/>
          <w:color w:val="000000"/>
          <w:spacing w:val="0"/>
          <w:sz w:val="32"/>
          <w:szCs w:val="32"/>
          <w:shd w:val="clear" w:fill="FFFFFF"/>
        </w:rPr>
        <w:t>规定和县委、县政府和上级财政部门政务公开工作的相关部署和要求,坚持“依法公开、客观公正、注重实效、有利监督”的原则，坚持以公开为常态，不公开为例外。</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（一）主动公开情况</w:t>
      </w:r>
      <w:r>
        <w:rPr>
          <w:rFonts w:hint="eastAsia" w:ascii="仿宋_GB2312" w:hAnsi="仿宋_GB2312" w:eastAsia="仿宋_GB2312" w:cs="仿宋_GB2312"/>
          <w:sz w:val="32"/>
          <w:szCs w:val="32"/>
          <w:lang w:val="en-US" w:eastAsia="zh-CN"/>
        </w:rPr>
        <w:t>。</w:t>
      </w:r>
      <w:r>
        <w:rPr>
          <w:rFonts w:ascii="仿宋_GB2312" w:hAnsi="宋体" w:eastAsia="仿宋_GB2312" w:cs="仿宋_GB2312"/>
          <w:i w:val="0"/>
          <w:iCs w:val="0"/>
          <w:caps w:val="0"/>
          <w:color w:val="000000"/>
          <w:spacing w:val="0"/>
          <w:sz w:val="31"/>
          <w:szCs w:val="31"/>
          <w:shd w:val="clear" w:fill="FFFFFF"/>
        </w:rPr>
        <w:t>我局妥善处理公开与保密的关系，合理界定信息公开范围，做到积极稳妥，及时准确，公开、公正、便民。</w:t>
      </w:r>
      <w:r>
        <w:rPr>
          <w:rFonts w:hint="eastAsia" w:ascii="仿宋_GB2312" w:hAnsi="宋体" w:eastAsia="仿宋_GB2312" w:cs="仿宋_GB2312"/>
          <w:i w:val="0"/>
          <w:iCs w:val="0"/>
          <w:caps w:val="0"/>
          <w:color w:val="000000"/>
          <w:spacing w:val="0"/>
          <w:sz w:val="31"/>
          <w:szCs w:val="31"/>
          <w:shd w:val="clear" w:fill="FFFFFF"/>
          <w:lang w:eastAsia="zh-CN"/>
        </w:rPr>
        <w:t>我局</w:t>
      </w:r>
      <w:r>
        <w:rPr>
          <w:rFonts w:hint="eastAsia" w:ascii="仿宋_GB2312" w:hAnsi="仿宋_GB2312" w:eastAsia="仿宋_GB2312" w:cs="仿宋_GB2312"/>
          <w:sz w:val="32"/>
          <w:szCs w:val="32"/>
          <w:lang w:val="en-US" w:eastAsia="zh-CN"/>
        </w:rPr>
        <w:t>每年年在初政府门户网站上主动公开工布江达县财政预算执行情况与财政预算(草案)报告。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（二）依申请公开情况。</w:t>
      </w:r>
      <w:r>
        <w:rPr>
          <w:rFonts w:hint="eastAsia" w:ascii="仿宋_GB2312" w:hAnsi="仿宋_GB2312" w:eastAsia="仿宋_GB2312" w:cs="仿宋_GB2312"/>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（三）政府信息管理情况</w:t>
      </w:r>
      <w:r>
        <w:rPr>
          <w:rFonts w:hint="eastAsia" w:ascii="仿宋_GB2312" w:hAnsi="仿宋_GB2312" w:eastAsia="仿宋_GB2312" w:cs="仿宋_GB2312"/>
          <w:sz w:val="32"/>
          <w:szCs w:val="32"/>
          <w:lang w:val="en-US" w:eastAsia="zh-CN"/>
        </w:rPr>
        <w:t>。按照政府信息公开要求和程序予以公布。全面推进政务公开，坚持以公开为常态、不公开为例外原则。创新政务公开方式，提高政务公开信息化、集中化水平。公开透明是法治政府的基本特征。全面推进政务公开，让权力在阳光下运行，做好规范性文件的管理、公开，加强政府自身建设的需要。</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（四）政府信息公开平台建设情况。</w:t>
      </w:r>
      <w:r>
        <w:rPr>
          <w:rFonts w:hint="eastAsia" w:ascii="仿宋_GB2312" w:hAnsi="仿宋_GB2312" w:eastAsia="仿宋_GB2312" w:cs="仿宋_GB2312"/>
          <w:sz w:val="32"/>
          <w:szCs w:val="32"/>
          <w:lang w:val="en-US" w:eastAsia="zh-CN"/>
        </w:rPr>
        <w:t>充分发挥政府门户网站和网信工布江达微信公众号等政务新媒体作用，利用其传播快捷、操作便捷、灵活互动等特点，随时随地能让广大人民群众获取政务信息，在传播重大决策、重要工作、重要文件以及开展政策解读、回应公众关切等方面发挥了积极作用，已经成为当前政务公开的重要渠道。</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320" w:firstLineChars="1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二、主动公开政府信息情况</w:t>
      </w:r>
    </w:p>
    <w:p>
      <w:pPr>
        <w:pStyle w:val="2"/>
        <w:keepNext w:val="0"/>
        <w:keepLines w:val="0"/>
        <w:pageBreakBefore w:val="0"/>
        <w:kinsoku/>
        <w:wordWrap/>
        <w:overflowPunct/>
        <w:topLinePunct w:val="0"/>
        <w:autoSpaceDE/>
        <w:bidi w:val="0"/>
        <w:adjustRightInd/>
        <w:snapToGrid/>
        <w:spacing w:line="576" w:lineRule="exact"/>
        <w:ind w:left="0" w:leftChars="0"/>
        <w:rPr>
          <w:rFonts w:hint="eastAsia"/>
          <w:lang w:val="en-US" w:eastAsia="zh-CN"/>
        </w:rPr>
      </w:pPr>
    </w:p>
    <w:p>
      <w:pPr>
        <w:pStyle w:val="6"/>
        <w:keepNext w:val="0"/>
        <w:keepLines w:val="0"/>
        <w:pageBreakBefore w:val="0"/>
        <w:kinsoku/>
        <w:wordWrap/>
        <w:overflowPunct/>
        <w:topLinePunct w:val="0"/>
        <w:autoSpaceDE/>
        <w:bidi w:val="0"/>
        <w:adjustRightInd/>
        <w:snapToGrid/>
        <w:spacing w:line="576" w:lineRule="exact"/>
        <w:ind w:left="0" w:leftChars="0"/>
        <w:rPr>
          <w:rFonts w:hint="eastAsia"/>
          <w:lang w:val="en-US" w:eastAsia="zh-CN"/>
        </w:rPr>
      </w:pPr>
    </w:p>
    <w:tbl>
      <w:tblPr>
        <w:tblStyle w:val="10"/>
        <w:tblW w:w="88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83"/>
        <w:gridCol w:w="1870"/>
        <w:gridCol w:w="1629"/>
        <w:gridCol w:w="19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18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本年制</w:t>
            </w:r>
            <w:r>
              <w:rPr>
                <w:rFonts w:hint="eastAsia" w:ascii="宋体" w:hAnsi="宋体" w:cs="宋体"/>
                <w:color w:val="auto"/>
                <w:kern w:val="0"/>
                <w:sz w:val="20"/>
                <w:szCs w:val="20"/>
                <w:lang w:eastAsia="zh-CN"/>
              </w:rPr>
              <w:t>发件数</w:t>
            </w:r>
          </w:p>
        </w:tc>
        <w:tc>
          <w:tcPr>
            <w:tcW w:w="162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本年</w:t>
            </w:r>
            <w:r>
              <w:rPr>
                <w:rFonts w:hint="eastAsia" w:ascii="宋体" w:hAnsi="宋体" w:cs="宋体"/>
                <w:color w:val="auto"/>
                <w:kern w:val="0"/>
                <w:sz w:val="20"/>
                <w:szCs w:val="20"/>
                <w:lang w:eastAsia="zh-CN"/>
              </w:rPr>
              <w:t>废止件数</w:t>
            </w:r>
          </w:p>
        </w:tc>
        <w:tc>
          <w:tcPr>
            <w:tcW w:w="197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规章</w:t>
            </w:r>
          </w:p>
        </w:tc>
        <w:tc>
          <w:tcPr>
            <w:tcW w:w="18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62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97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行政</w:t>
            </w:r>
            <w:r>
              <w:rPr>
                <w:rFonts w:hint="eastAsia" w:ascii="宋体" w:hAnsi="宋体" w:eastAsia="宋体" w:cs="宋体"/>
                <w:color w:val="auto"/>
                <w:kern w:val="0"/>
                <w:sz w:val="20"/>
                <w:szCs w:val="20"/>
              </w:rPr>
              <w:t>规范性文件</w:t>
            </w:r>
          </w:p>
        </w:tc>
        <w:tc>
          <w:tcPr>
            <w:tcW w:w="187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val="0"/>
              <w:bidi w:val="0"/>
              <w:adjustRightInd/>
              <w:snapToGrid/>
              <w:spacing w:line="576" w:lineRule="exact"/>
              <w:ind w:left="0" w:leftChars="0"/>
              <w:jc w:val="center"/>
              <w:textAlignment w:val="center"/>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62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val="0"/>
              <w:bidi w:val="0"/>
              <w:adjustRightInd/>
              <w:snapToGrid/>
              <w:spacing w:line="576" w:lineRule="exact"/>
              <w:ind w:left="0" w:leftChars="0"/>
              <w:jc w:val="center"/>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978"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val="0"/>
              <w:bidi w:val="0"/>
              <w:adjustRightInd/>
              <w:snapToGrid/>
              <w:spacing w:line="576" w:lineRule="exact"/>
              <w:ind w:left="0" w:leftChars="0"/>
              <w:jc w:val="center"/>
              <w:textAlignment w:val="center"/>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w:t>
            </w:r>
            <w:r>
              <w:rPr>
                <w:rFonts w:hint="eastAsia" w:ascii="宋体" w:hAnsi="宋体" w:eastAsia="宋体" w:cs="宋体"/>
                <w:color w:val="auto"/>
                <w:kern w:val="0"/>
                <w:sz w:val="20"/>
                <w:szCs w:val="2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行政许可</w:t>
            </w:r>
          </w:p>
        </w:tc>
        <w:tc>
          <w:tcPr>
            <w:tcW w:w="5477"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rightChars="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w:t>
            </w:r>
            <w:r>
              <w:rPr>
                <w:rFonts w:hint="eastAsia" w:ascii="宋体" w:hAnsi="宋体" w:eastAsia="宋体" w:cs="宋体"/>
                <w:color w:val="auto"/>
                <w:kern w:val="0"/>
                <w:sz w:val="20"/>
                <w:szCs w:val="2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行政处罚</w:t>
            </w:r>
          </w:p>
        </w:tc>
        <w:tc>
          <w:tcPr>
            <w:tcW w:w="5477"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行政强制</w:t>
            </w:r>
          </w:p>
        </w:tc>
        <w:tc>
          <w:tcPr>
            <w:tcW w:w="5477"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行政事业性收费</w:t>
            </w:r>
          </w:p>
        </w:tc>
        <w:tc>
          <w:tcPr>
            <w:tcW w:w="5477" w:type="dxa"/>
            <w:gridSpan w:val="3"/>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bl>
    <w:p>
      <w:pPr>
        <w:keepNext w:val="0"/>
        <w:keepLines w:val="0"/>
        <w:pageBreakBefore w:val="0"/>
        <w:widowControl w:val="0"/>
        <w:numPr>
          <w:ilvl w:val="0"/>
          <w:numId w:val="0"/>
        </w:numPr>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三、收到和处理政府信息公开申请情况</w:t>
      </w:r>
    </w:p>
    <w:tbl>
      <w:tblPr>
        <w:tblStyle w:val="10"/>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804"/>
        <w:gridCol w:w="2401"/>
        <w:gridCol w:w="732"/>
        <w:gridCol w:w="675"/>
        <w:gridCol w:w="770"/>
        <w:gridCol w:w="892"/>
        <w:gridCol w:w="921"/>
        <w:gridCol w:w="650"/>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（本列数据的勾稽关系为：第一项加第二项之和，等于第三项加第四项之和）</w:t>
            </w:r>
          </w:p>
        </w:tc>
        <w:tc>
          <w:tcPr>
            <w:tcW w:w="5331" w:type="dxa"/>
            <w:gridSpan w:val="7"/>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732"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自然人</w:t>
            </w:r>
          </w:p>
        </w:tc>
        <w:tc>
          <w:tcPr>
            <w:tcW w:w="3908" w:type="dxa"/>
            <w:gridSpan w:val="5"/>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法人或其他组织</w:t>
            </w:r>
          </w:p>
        </w:tc>
        <w:tc>
          <w:tcPr>
            <w:tcW w:w="691"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668" w:type="dxa"/>
            <w:gridSpan w:val="3"/>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732"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商业企业</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科研机构</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社会公益组织</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法律服务机构</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其他</w:t>
            </w:r>
          </w:p>
        </w:tc>
        <w:tc>
          <w:tcPr>
            <w:tcW w:w="69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一、本年新收政府信息公开申请数量</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二、上年结转政府信息公开申请数量</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三、本年度办理结果</w:t>
            </w:r>
          </w:p>
        </w:tc>
        <w:tc>
          <w:tcPr>
            <w:tcW w:w="3205"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（一）予以公开</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3205"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（二）部分公开（区分处理的，只计这一情形，不计其他情形）</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（三）不予公开</w:t>
            </w: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1.属于国家秘密</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2.其他法律行政法规禁止公开</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3.危及“三安全一稳定”</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4.保护第三方合法权益</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5.属于三类内部事务信息</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6.属于四类过程性信息</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7.属于行政执法案卷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8.属于行政查询事项</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（四）无法提供</w:t>
            </w: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1.本机关不掌握相关政府信息</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2.没有现成信息需要另行制作</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3.补正后申请内容仍不明确</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（五）不予处理</w:t>
            </w: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1.信访举报投诉类申请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2.重复申请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3.要求提供公开出版物</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4.无正当理由大量反复申请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left"/>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sz w:val="21"/>
                <w:szCs w:val="21"/>
              </w:rPr>
              <w:t>5.要求行政机关确认或重新出具已获取信息</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（六）其他处理</w:t>
            </w: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1.申请人无正当理由逾期不补正、行政机关不再处理其政府信息公开申请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2.申请人逾期未按收费通知要求缴纳费用、行政机关不再处理其政府信息公开申请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3.其他</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3205"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（七）总计</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66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四、结转下年度继续办理</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bl>
    <w:p>
      <w:pPr>
        <w:keepNext w:val="0"/>
        <w:keepLines w:val="0"/>
        <w:pageBreakBefore w:val="0"/>
        <w:widowControl w:val="0"/>
        <w:numPr>
          <w:ilvl w:val="0"/>
          <w:numId w:val="0"/>
        </w:numPr>
        <w:kinsoku/>
        <w:wordWrap/>
        <w:overflowPunct/>
        <w:topLinePunct w:val="0"/>
        <w:autoSpaceDE/>
        <w:bidi w:val="0"/>
        <w:adjustRightInd/>
        <w:snapToGrid/>
        <w:spacing w:before="0" w:after="0" w:line="576"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四、政府信息公开行政复议、行政诉讼情况</w:t>
      </w:r>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行政复议</w:t>
            </w:r>
          </w:p>
        </w:tc>
        <w:tc>
          <w:tcPr>
            <w:tcW w:w="5997" w:type="dxa"/>
            <w:gridSpan w:val="10"/>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4" w:type="dxa"/>
            <w:vMerge w:val="restar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4"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其他结果</w:t>
            </w:r>
          </w:p>
        </w:tc>
        <w:tc>
          <w:tcPr>
            <w:tcW w:w="604"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58"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总计</w:t>
            </w:r>
          </w:p>
        </w:tc>
        <w:tc>
          <w:tcPr>
            <w:tcW w:w="2970"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未经复议直接起诉</w:t>
            </w:r>
          </w:p>
        </w:tc>
        <w:tc>
          <w:tcPr>
            <w:tcW w:w="3027"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left"/>
              <w:textAlignment w:val="auto"/>
              <w:outlineLvl w:val="9"/>
              <w:rPr>
                <w:rFonts w:ascii="宋体" w:hAnsi="宋体" w:cs="宋体"/>
                <w:color w:val="333333"/>
                <w:kern w:val="0"/>
                <w:szCs w:val="21"/>
              </w:rPr>
            </w:pPr>
          </w:p>
        </w:tc>
        <w:tc>
          <w:tcPr>
            <w:tcW w:w="658"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left"/>
              <w:textAlignment w:val="auto"/>
              <w:outlineLvl w:val="9"/>
              <w:rPr>
                <w:rFonts w:ascii="宋体" w:hAnsi="宋体" w:cs="宋体"/>
                <w:color w:val="333333"/>
                <w:kern w:val="0"/>
                <w:szCs w:val="21"/>
              </w:rPr>
            </w:pPr>
          </w:p>
        </w:tc>
        <w:tc>
          <w:tcPr>
            <w:tcW w:w="5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其他结果</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总计</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其他结果</w:t>
            </w:r>
          </w:p>
        </w:tc>
        <w:tc>
          <w:tcPr>
            <w:tcW w:w="60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0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5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5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default"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r>
    </w:tbl>
    <w:p>
      <w:pPr>
        <w:keepNext w:val="0"/>
        <w:keepLines w:val="0"/>
        <w:pageBreakBefore w:val="0"/>
        <w:widowControl/>
        <w:numPr>
          <w:ilvl w:val="0"/>
          <w:numId w:val="0"/>
        </w:numPr>
        <w:kinsoku/>
        <w:wordWrap/>
        <w:overflowPunct/>
        <w:topLinePunct w:val="0"/>
        <w:autoSpaceDE/>
        <w:bidi w:val="0"/>
        <w:adjustRightInd/>
        <w:snapToGrid/>
        <w:spacing w:line="576" w:lineRule="exact"/>
        <w:ind w:left="0" w:leftChars="0"/>
        <w:rPr>
          <w:rFonts w:hint="eastAsia" w:ascii="黑体" w:hAnsi="黑体" w:eastAsia="黑体" w:cs="黑体"/>
          <w:b w:val="0"/>
          <w:bCs w:val="0"/>
          <w:color w:val="333333"/>
          <w:kern w:val="0"/>
          <w:sz w:val="32"/>
          <w:szCs w:val="32"/>
          <w:lang w:val="en-US" w:eastAsia="zh-CN"/>
        </w:rPr>
      </w:pPr>
      <w:r>
        <w:rPr>
          <w:rFonts w:hint="eastAsia" w:ascii="黑体" w:hAnsi="黑体" w:eastAsia="黑体" w:cs="黑体"/>
          <w:b w:val="0"/>
          <w:bCs w:val="0"/>
          <w:color w:val="333333"/>
          <w:kern w:val="0"/>
          <w:sz w:val="32"/>
          <w:szCs w:val="32"/>
          <w:lang w:val="en-US" w:eastAsia="zh-CN"/>
        </w:rPr>
        <w:t xml:space="preserve">    五、</w:t>
      </w:r>
      <w:r>
        <w:rPr>
          <w:rFonts w:hint="eastAsia" w:ascii="黑体" w:hAnsi="黑体" w:eastAsia="黑体" w:cs="黑体"/>
          <w:b w:val="0"/>
          <w:bCs w:val="0"/>
          <w:color w:val="333333"/>
          <w:kern w:val="0"/>
          <w:sz w:val="32"/>
          <w:szCs w:val="32"/>
        </w:rPr>
        <w:t>存在的主要问题及改进情况</w:t>
      </w:r>
    </w:p>
    <w:p>
      <w:pPr>
        <w:pStyle w:val="9"/>
        <w:keepNext w:val="0"/>
        <w:keepLines w:val="0"/>
        <w:pageBreakBefore w:val="0"/>
        <w:widowControl/>
        <w:suppressLineNumbers w:val="0"/>
        <w:kinsoku/>
        <w:wordWrap/>
        <w:overflowPunct/>
        <w:topLinePunct w:val="0"/>
        <w:autoSpaceDE/>
        <w:bidi w:val="0"/>
        <w:adjustRightInd/>
        <w:snapToGrid/>
        <w:spacing w:before="0" w:beforeAutospacing="0" w:after="0" w:afterAutospacing="0" w:line="576" w:lineRule="exact"/>
        <w:ind w:left="0" w:leftChars="0" w:right="0" w:firstLine="482"/>
        <w:jc w:val="both"/>
        <w:rPr>
          <w:rFonts w:hint="default" w:ascii="Times New Roman" w:hAnsi="Times New Roman" w:cs="Times New Roman"/>
          <w:sz w:val="21"/>
          <w:szCs w:val="21"/>
        </w:rPr>
      </w:pPr>
      <w:r>
        <w:rPr>
          <w:rFonts w:hint="eastAsia" w:ascii="仿宋" w:hAnsi="仿宋" w:eastAsia="仿宋" w:cs="仿宋"/>
          <w:b w:val="0"/>
          <w:bCs w:val="0"/>
          <w:sz w:val="32"/>
          <w:szCs w:val="32"/>
        </w:rPr>
        <w:t> </w:t>
      </w:r>
      <w:r>
        <w:rPr>
          <w:rFonts w:hint="eastAsia" w:ascii="仿宋_GB2312" w:hAnsi="仿宋" w:eastAsia="仿宋_GB2312" w:cs="仿宋_GB2312"/>
          <w:b w:val="0"/>
          <w:bCs w:val="0"/>
          <w:sz w:val="32"/>
          <w:szCs w:val="32"/>
        </w:rPr>
        <w:t>我局高度重视政府信息公开工作，逐步实现常态化、规范化管理，但仍存在一些问题和不足。主要表现在政务信息公开工作人员工作能力有待进一步提高。</w:t>
      </w:r>
    </w:p>
    <w:p>
      <w:pPr>
        <w:pStyle w:val="9"/>
        <w:keepNext w:val="0"/>
        <w:keepLines w:val="0"/>
        <w:pageBreakBefore w:val="0"/>
        <w:widowControl/>
        <w:suppressLineNumbers w:val="0"/>
        <w:kinsoku/>
        <w:wordWrap/>
        <w:overflowPunct/>
        <w:topLinePunct w:val="0"/>
        <w:autoSpaceDE/>
        <w:bidi w:val="0"/>
        <w:adjustRightInd/>
        <w:snapToGrid/>
        <w:spacing w:before="0" w:beforeAutospacing="0" w:after="0" w:afterAutospacing="0" w:line="576" w:lineRule="exact"/>
        <w:ind w:left="0" w:leftChars="0" w:right="0" w:firstLine="482"/>
        <w:jc w:val="both"/>
        <w:rPr>
          <w:rFonts w:hint="default" w:ascii="Times New Roman" w:hAnsi="Times New Roman" w:cs="Times New Roman"/>
          <w:sz w:val="21"/>
          <w:szCs w:val="21"/>
        </w:rPr>
      </w:pPr>
      <w:r>
        <w:rPr>
          <w:rFonts w:hint="eastAsia" w:ascii="仿宋" w:hAnsi="仿宋" w:eastAsia="仿宋" w:cs="仿宋"/>
          <w:b w:val="0"/>
          <w:bCs w:val="0"/>
          <w:sz w:val="32"/>
          <w:szCs w:val="32"/>
        </w:rPr>
        <w:t> </w:t>
      </w:r>
      <w:r>
        <w:rPr>
          <w:rFonts w:hint="eastAsia" w:ascii="仿宋_GB2312" w:hAnsi="仿宋" w:eastAsia="仿宋_GB2312" w:cs="仿宋_GB2312"/>
          <w:b/>
          <w:bCs/>
          <w:sz w:val="32"/>
          <w:szCs w:val="32"/>
        </w:rPr>
        <w:t>针对信息公开工作存在的问题</w:t>
      </w:r>
      <w:r>
        <w:rPr>
          <w:rFonts w:hint="eastAsia" w:ascii="仿宋_GB2312" w:hAnsi="仿宋" w:eastAsia="仿宋_GB2312" w:cs="仿宋_GB2312"/>
          <w:b/>
          <w:bCs/>
          <w:sz w:val="32"/>
          <w:szCs w:val="32"/>
          <w:lang w:eastAsia="zh-CN"/>
        </w:rPr>
        <w:t>：</w:t>
      </w:r>
      <w:r>
        <w:rPr>
          <w:rFonts w:hint="eastAsia" w:ascii="仿宋_GB2312" w:hAnsi="仿宋" w:eastAsia="仿宋_GB2312" w:cs="仿宋_GB2312"/>
          <w:b/>
          <w:bCs/>
          <w:sz w:val="32"/>
          <w:szCs w:val="32"/>
        </w:rPr>
        <w:t>一是</w:t>
      </w:r>
      <w:r>
        <w:rPr>
          <w:rFonts w:hint="eastAsia" w:ascii="仿宋_GB2312" w:hAnsi="仿宋" w:eastAsia="仿宋_GB2312" w:cs="仿宋_GB2312"/>
          <w:b w:val="0"/>
          <w:bCs w:val="0"/>
          <w:sz w:val="32"/>
          <w:szCs w:val="32"/>
        </w:rPr>
        <w:t>进一步强化组织领导。明确职责分工，完善工作制度，切实提高信息公开意识，不断创新工作方式方法，突出重点，注重实效。</w:t>
      </w:r>
      <w:r>
        <w:rPr>
          <w:rFonts w:hint="eastAsia" w:ascii="仿宋_GB2312" w:hAnsi="仿宋" w:eastAsia="仿宋_GB2312" w:cs="仿宋_GB2312"/>
          <w:b/>
          <w:bCs/>
          <w:sz w:val="32"/>
          <w:szCs w:val="32"/>
        </w:rPr>
        <w:t>二是</w:t>
      </w:r>
      <w:r>
        <w:rPr>
          <w:rFonts w:hint="eastAsia" w:ascii="仿宋_GB2312" w:hAnsi="仿宋" w:eastAsia="仿宋_GB2312" w:cs="仿宋_GB2312"/>
          <w:b w:val="0"/>
          <w:bCs w:val="0"/>
          <w:sz w:val="32"/>
          <w:szCs w:val="32"/>
        </w:rPr>
        <w:t>进一步加大信息公开工作力度。认真贯彻落实文件精神，提高业务能力，提升更新频率，拓宽信息公开范围，确保动态信息及时、有效、快速地面向社会和百姓公开。</w:t>
      </w:r>
      <w:r>
        <w:rPr>
          <w:rFonts w:hint="eastAsia" w:ascii="仿宋_GB2312" w:hAnsi="仿宋" w:eastAsia="仿宋_GB2312" w:cs="仿宋_GB2312"/>
          <w:b/>
          <w:bCs/>
          <w:sz w:val="32"/>
          <w:szCs w:val="32"/>
        </w:rPr>
        <w:t>三是</w:t>
      </w:r>
      <w:r>
        <w:rPr>
          <w:rFonts w:hint="eastAsia" w:ascii="仿宋_GB2312" w:hAnsi="仿宋" w:eastAsia="仿宋_GB2312" w:cs="仿宋_GB2312"/>
          <w:b w:val="0"/>
          <w:bCs w:val="0"/>
          <w:sz w:val="32"/>
          <w:szCs w:val="32"/>
        </w:rPr>
        <w:t>加强政务信息公开工作人员业务培训，借鉴学习其他兄弟单位好的经验做法，及时总结好的经验做法，不断提高全局信息公开工作质量。</w:t>
      </w:r>
    </w:p>
    <w:p>
      <w:pPr>
        <w:keepNext w:val="0"/>
        <w:keepLines w:val="0"/>
        <w:pageBreakBefore w:val="0"/>
        <w:widowControl/>
        <w:numPr>
          <w:ilvl w:val="0"/>
          <w:numId w:val="0"/>
        </w:numPr>
        <w:kinsoku/>
        <w:wordWrap/>
        <w:overflowPunct/>
        <w:topLinePunct w:val="0"/>
        <w:autoSpaceDE/>
        <w:bidi w:val="0"/>
        <w:adjustRightInd/>
        <w:snapToGrid/>
        <w:spacing w:before="0" w:after="0" w:line="576" w:lineRule="exact"/>
        <w:ind w:left="0" w:leftChars="0" w:right="0"/>
        <w:jc w:val="both"/>
        <w:textAlignment w:val="auto"/>
        <w:outlineLvl w:val="9"/>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lang w:val="en-US" w:eastAsia="zh-CN"/>
        </w:rPr>
        <w:t xml:space="preserve">    六、</w:t>
      </w:r>
      <w:r>
        <w:rPr>
          <w:rFonts w:hint="eastAsia" w:ascii="黑体" w:hAnsi="黑体" w:eastAsia="黑体" w:cs="黑体"/>
          <w:b w:val="0"/>
          <w:bCs w:val="0"/>
          <w:color w:val="333333"/>
          <w:kern w:val="0"/>
          <w:sz w:val="32"/>
          <w:szCs w:val="32"/>
        </w:rPr>
        <w:t>其他需要报告的事项</w:t>
      </w:r>
    </w:p>
    <w:p>
      <w:pPr>
        <w:keepNext w:val="0"/>
        <w:keepLines w:val="0"/>
        <w:pageBreakBefore w:val="0"/>
        <w:widowControl w:val="0"/>
        <w:numPr>
          <w:ilvl w:val="0"/>
          <w:numId w:val="0"/>
        </w:numPr>
        <w:kinsoku/>
        <w:wordWrap/>
        <w:overflowPunct/>
        <w:topLinePunct w:val="0"/>
        <w:autoSpaceDE/>
        <w:bidi w:val="0"/>
        <w:adjustRightInd/>
        <w:snapToGrid/>
        <w:spacing w:before="0" w:after="0" w:line="576"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keepNext w:val="0"/>
        <w:keepLines w:val="0"/>
        <w:pageBreakBefore w:val="0"/>
        <w:widowControl w:val="0"/>
        <w:numPr>
          <w:ilvl w:val="0"/>
          <w:numId w:val="0"/>
        </w:numPr>
        <w:kinsoku/>
        <w:wordWrap/>
        <w:overflowPunct/>
        <w:topLinePunct w:val="0"/>
        <w:autoSpaceDE/>
        <w:bidi w:val="0"/>
        <w:adjustRightInd/>
        <w:snapToGrid/>
        <w:spacing w:before="0" w:after="0" w:line="576" w:lineRule="exact"/>
        <w:ind w:left="0" w:leftChars="0" w:right="0" w:firstLine="2560" w:firstLineChars="8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before="0" w:after="0" w:line="576" w:lineRule="exact"/>
        <w:ind w:left="0" w:leftChars="0" w:right="0" w:firstLine="2560" w:firstLineChars="800"/>
        <w:jc w:val="both"/>
        <w:textAlignment w:val="auto"/>
        <w:outlineLvl w:val="9"/>
        <w:rPr>
          <w:rFonts w:hint="eastAsia" w:ascii="仿宋_GB2312" w:hAnsi="仿宋" w:eastAsia="仿宋_GB2312" w:cs="仿宋_GB2312"/>
          <w:b w:val="0"/>
          <w:bCs w:val="0"/>
          <w:kern w:val="0"/>
          <w:sz w:val="32"/>
          <w:szCs w:val="32"/>
          <w:lang w:val="en-US" w:eastAsia="zh-CN" w:bidi="ar"/>
        </w:rPr>
      </w:pPr>
    </w:p>
    <w:p>
      <w:pPr>
        <w:pStyle w:val="9"/>
        <w:keepNext w:val="0"/>
        <w:keepLines w:val="0"/>
        <w:pageBreakBefore w:val="0"/>
        <w:widowControl/>
        <w:suppressLineNumbers w:val="0"/>
        <w:kinsoku/>
        <w:wordWrap/>
        <w:overflowPunct/>
        <w:topLinePunct w:val="0"/>
        <w:autoSpaceDE/>
        <w:bidi w:val="0"/>
        <w:adjustRightInd/>
        <w:snapToGrid/>
        <w:spacing w:before="0" w:beforeAutospacing="0" w:after="0" w:afterAutospacing="0" w:line="576" w:lineRule="exact"/>
        <w:ind w:left="0" w:leftChars="0" w:right="0" w:firstLine="482"/>
        <w:jc w:val="right"/>
        <w:rPr>
          <w:rFonts w:hint="default" w:ascii="仿宋_GB2312" w:hAnsi="仿宋" w:eastAsia="仿宋_GB2312" w:cs="仿宋_GB2312"/>
          <w:b w:val="0"/>
          <w:bCs w:val="0"/>
          <w:kern w:val="0"/>
          <w:sz w:val="32"/>
          <w:szCs w:val="32"/>
          <w:lang w:val="en-US" w:eastAsia="zh-CN" w:bidi="ar"/>
        </w:rPr>
      </w:pPr>
      <w:r>
        <w:rPr>
          <w:rFonts w:hint="eastAsia" w:ascii="仿宋_GB2312" w:hAnsi="仿宋" w:eastAsia="仿宋_GB2312" w:cs="仿宋_GB2312"/>
          <w:b w:val="0"/>
          <w:bCs w:val="0"/>
          <w:kern w:val="0"/>
          <w:sz w:val="32"/>
          <w:szCs w:val="32"/>
          <w:lang w:val="en-US" w:eastAsia="zh-CN" w:bidi="ar"/>
        </w:rPr>
        <w:t xml:space="preserve">  工布江达县财政局    </w:t>
      </w:r>
    </w:p>
    <w:p>
      <w:pPr>
        <w:keepNext w:val="0"/>
        <w:keepLines w:val="0"/>
        <w:pageBreakBefore w:val="0"/>
        <w:widowControl w:val="0"/>
        <w:numPr>
          <w:ilvl w:val="0"/>
          <w:numId w:val="0"/>
        </w:numPr>
        <w:kinsoku/>
        <w:wordWrap/>
        <w:overflowPunct/>
        <w:topLinePunct w:val="0"/>
        <w:autoSpaceDE/>
        <w:bidi w:val="0"/>
        <w:adjustRightInd/>
        <w:snapToGrid/>
        <w:spacing w:before="0" w:after="0" w:line="576"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 w:eastAsia="仿宋_GB2312" w:cs="仿宋_GB2312"/>
          <w:b w:val="0"/>
          <w:bCs w:val="0"/>
          <w:kern w:val="0"/>
          <w:sz w:val="32"/>
          <w:szCs w:val="32"/>
          <w:lang w:val="en-US" w:eastAsia="zh-CN" w:bidi="ar"/>
        </w:rPr>
        <w:t xml:space="preserve">                                  2022年1月10日</w:t>
      </w:r>
    </w:p>
    <w:bookmarkEnd w:id="0"/>
    <w:sectPr>
      <w:headerReference r:id="rId3" w:type="default"/>
      <w:footerReference r:id="rId4" w:type="default"/>
      <w:pgMar w:top="2154" w:right="1474" w:bottom="1134" w:left="1531" w:header="720" w:footer="720" w:gutter="0"/>
      <w:pgBorders>
        <w:top w:val="none" w:sz="0" w:space="0"/>
        <w:left w:val="none" w:sz="0" w:space="0"/>
        <w:bottom w:val="none" w:sz="0" w:space="0"/>
        <w:right w:val="none" w:sz="0" w:space="0"/>
      </w:pgBorders>
      <w:pgNumType w:fmt="numberInDash"/>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oB3MscBAACY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zKr&#10;0weoMek+YFoa3vkhZ05+QGcmPaho8xfpEIyjtuertnJIRORH69V6XWFIYGy+IA57eB4ipPfSW5KN&#10;hkYcXtGUnz5CGlPnlFzN+TttDPp5bdw/DsTMHpZ7H3vMVhr2w9T43rdn5NPj3BvqcM0pMR8cyppX&#10;ZDbibOxn4xiiPnRlh3I9CLfHhE2U3nKFEXYqjAMr7Kblyhvx+F6yHn6o7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PoB3MscBAACYAwAADgAAAAAAAAABACAAAAAeAQAAZHJzL2Uyb0RvYy54&#10;bWxQSwUGAAAAAAYABgBZAQAAVw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6B1451"/>
    <w:multiLevelType w:val="singleLevel"/>
    <w:tmpl w:val="1E6B1451"/>
    <w:lvl w:ilvl="0" w:tentative="0">
      <w:start w:val="1"/>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5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C4312"/>
    <w:rsid w:val="0F365A9D"/>
    <w:rsid w:val="11967B2A"/>
    <w:rsid w:val="19B465E1"/>
    <w:rsid w:val="1DBFF5F3"/>
    <w:rsid w:val="268E3EBA"/>
    <w:rsid w:val="2C4615DE"/>
    <w:rsid w:val="53EFC7C2"/>
    <w:rsid w:val="596F34E3"/>
    <w:rsid w:val="62532084"/>
    <w:rsid w:val="66023464"/>
    <w:rsid w:val="66EF6EDB"/>
    <w:rsid w:val="67876CB8"/>
    <w:rsid w:val="6DEB92A9"/>
    <w:rsid w:val="72664C8C"/>
    <w:rsid w:val="BA7B23C6"/>
    <w:rsid w:val="BFC220F6"/>
    <w:rsid w:val="E7BB53FA"/>
    <w:rsid w:val="FEFF02FE"/>
    <w:rsid w:val="FFF287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qFormat/>
    <w:uiPriority w:val="0"/>
    <w:rPr>
      <w:rFonts w:ascii="Times New Roman" w:hAnsi="Times New Roman" w:cs="Times New Roman"/>
      <w:szCs w:val="20"/>
    </w:rPr>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6"/>
    <w:qFormat/>
    <w:uiPriority w:val="0"/>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Body Text"/>
    <w:basedOn w:val="5"/>
    <w:qFormat/>
    <w:uiPriority w:val="0"/>
    <w:pPr>
      <w:spacing w:before="180" w:after="180"/>
    </w:pPr>
  </w:style>
  <w:style w:type="paragraph" w:styleId="5">
    <w:name w:val="Body Text 2"/>
    <w:basedOn w:val="1"/>
    <w:unhideWhenUsed/>
    <w:qFormat/>
    <w:uiPriority w:val="99"/>
    <w:pPr>
      <w:spacing w:afterLines="0" w:afterAutospacing="0" w:line="576" w:lineRule="exact"/>
    </w:pPr>
    <w:rPr>
      <w:rFonts w:ascii="Calibri" w:hAnsi="Calibri" w:eastAsia="仿宋_GB2312" w:cs="Times New Roman"/>
      <w:sz w:val="32"/>
    </w:rPr>
  </w:style>
  <w:style w:type="paragraph" w:styleId="6">
    <w:name w:val="toc 3"/>
    <w:basedOn w:val="1"/>
    <w:next w:val="1"/>
    <w:qFormat/>
    <w:uiPriority w:val="0"/>
    <w:pPr>
      <w:ind w:left="840" w:leftChars="400"/>
    </w:pPr>
  </w:style>
  <w:style w:type="paragraph" w:styleId="7">
    <w:name w:val="footer"/>
    <w:basedOn w:val="1"/>
    <w:semiHidden/>
    <w:unhideWhenUsed/>
    <w:qFormat/>
    <w:uiPriority w:val="0"/>
    <w:pPr>
      <w:tabs>
        <w:tab w:val="center" w:pos="4153"/>
        <w:tab w:val="right" w:pos="8306"/>
      </w:tabs>
      <w:snapToGrid w:val="0"/>
      <w:jc w:val="left"/>
    </w:pPr>
    <w:rPr>
      <w:sz w:val="18"/>
      <w:szCs w:val="18"/>
    </w:rPr>
  </w:style>
  <w:style w:type="paragraph" w:styleId="8">
    <w:name w:val="header"/>
    <w:basedOn w:val="1"/>
    <w:semiHidden/>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2">
    <w:name w:val="page number"/>
    <w:basedOn w:val="11"/>
    <w:semiHidden/>
    <w:unhideWhenUsed/>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2020-12-17T23:30:00Z</dcterms:created>
  <dc:creator>xxk</dc:creator>
  <cp:lastModifiedBy>Administrator</cp:lastModifiedBy>
  <cp:lastPrinted>2020-12-27T02:16:00Z</cp:lastPrinted>
  <dcterms:modified xsi:type="dcterms:W3CDTF">2022-01-29T09:30:12Z</dcterms:modified>
  <dc:title>XXX2020年政府信息公开工作年度报告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8E546346C519420F92DE561F36B99B7D</vt:lpwstr>
  </property>
</Properties>
</file>