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工布江达县卫生健康委员会2021年政府信息公开工作年度报告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卫生健康委员会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0"/>
        <w:jc w:val="both"/>
        <w:textAlignment w:val="auto"/>
        <w:outlineLvl w:val="9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报告电子版可在林芝市xxx网下载(http://www.xx.gov.cn)。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公众如需进一步咨询了解相关信息，可与我单位联系（单位地址：西藏自治区林芝市工布江达县卫生健康委员会；联系方式：0894-5414418；电子邮箱：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"mailto:gbjdxwjw@163.com；邮编850300）。" </w:instrTex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Style w:val="9"/>
          <w:rFonts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gbjdxwjw@163.com；邮编850300）。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outlineLvl w:val="9"/>
        <w:rPr>
          <w:rFonts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年，我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委认真贯彻落实</w:t>
      </w:r>
      <w:r>
        <w:rPr>
          <w:rFonts w:hint="default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《中华人民共和国政府信息公开条例》，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严格按照政府信息公开的工作要求，认真研究部署卫生健康信息公开工作开展，健全信息公开工作机制，进一步规范信息公开程序，确保卫生健康领域信息能够按规定及时公开</w:t>
      </w:r>
      <w:r>
        <w:rPr>
          <w:rFonts w:hint="eastAsia" w:asci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推进政府信息公开工作深入开展。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outlineLvl w:val="9"/>
        <w:rPr>
          <w:rFonts w:hint="default" w:ascii="楷体_GB2312" w:hAnsi="宋体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（一）加强组织领导。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委高度重视政府信息公开工作，召开专题会议进行研究部署，成立了卫健委政府信息公开工作领导小组，明确办公室为政府信息公开工作责任部门，形成了主要领导亲自抓，分管领导具体抓，单位干部职工积极参与的工作局面，全力推进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default" w:ascii="楷体_GB2312" w:hAnsi="宋体" w:eastAsia="楷体_GB2312" w:cs="楷体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（二）加强平台建设。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完善信息公开制度，明确信息公开的保密审核、信息发布、更新频率等要求，并加强对卫健系统信息公开的管理和指导。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（三）主动公开情况。</w:t>
      </w:r>
    </w:p>
    <w:p>
      <w:pPr>
        <w:pStyle w:val="2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Lines="0" w:afterLines="0" w:line="576" w:lineRule="exact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2021年，我委未主动公开相关信息。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（四）依申请公开政府信息情况。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2021年，我委未收到政府信息公开申请。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（五）政府信息公开行政复议、行政诉讼情况。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2021年，我委未收到公开行政复议、行政诉讼的情况。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（六）政府信息公开平台建设情况。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2021年，我委已开展多渠道政府信息公开平台建设工作（微信公众号），目前正在建设中。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6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6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政府信息公开平台建设情况较为缓慢，目前我委主管领导，已针对该项工作进行部署，负责专人加紧建设卫生健康系统微信公众号，方便群众了解我委最新工作动态及委属医疗机构相关信息。</w:t>
      </w:r>
    </w:p>
    <w:bookmarkEnd w:id="0"/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F5F3"/>
    <w:rsid w:val="53EFC7C2"/>
    <w:rsid w:val="58820FC3"/>
    <w:rsid w:val="6D372E30"/>
    <w:rsid w:val="6DEB92A9"/>
    <w:rsid w:val="7CFD43A7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ascii="Calibri" w:hAnsi="Calibri" w:eastAsia="黑体" w:cs="Times New Roman"/>
      <w:kern w:val="44"/>
      <w:sz w:val="36"/>
    </w:rPr>
  </w:style>
  <w:style w:type="character" w:default="1" w:styleId="7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2022-01-30T08:42:23Z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0F2BFC21EF2A407489D482667EBAC00D</vt:lpwstr>
  </property>
</Properties>
</file>