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工布江达县退役军人事务局2020年</w:t>
      </w:r>
      <w:r>
        <w:rPr>
          <w:rFonts w:hint="eastAsia" w:ascii="方正小标宋简体" w:hAnsi="方正小标宋简体" w:eastAsia="方正小标宋简体" w:cs="方正小标宋简体"/>
          <w:color w:val="333333"/>
          <w:kern w:val="0"/>
          <w:sz w:val="44"/>
          <w:szCs w:val="44"/>
          <w:lang w:val="en-US" w:eastAsia="zh-CN"/>
        </w:rPr>
        <w:t>政府</w:t>
      </w:r>
      <w:r>
        <w:rPr>
          <w:rFonts w:hint="eastAsia" w:ascii="方正小标宋简体" w:hAnsi="方正小标宋简体" w:eastAsia="方正小标宋简体" w:cs="方正小标宋简体"/>
          <w:color w:val="333333"/>
          <w:kern w:val="0"/>
          <w:sz w:val="44"/>
          <w:szCs w:val="44"/>
        </w:rPr>
        <w:t>信息公开年度报告</w:t>
      </w:r>
    </w:p>
    <w:p>
      <w:pPr>
        <w:widowControl/>
        <w:spacing w:line="576" w:lineRule="exact"/>
        <w:jc w:val="center"/>
        <w:rPr>
          <w:rFonts w:ascii="方正小标宋简体" w:hAnsi="方正小标宋简体" w:eastAsia="方正小标宋简体" w:cs="方正小标宋简体"/>
          <w:color w:val="333333"/>
          <w:kern w:val="0"/>
          <w:sz w:val="44"/>
          <w:szCs w:val="44"/>
        </w:rPr>
      </w:pPr>
    </w:p>
    <w:p>
      <w:pPr>
        <w:widowControl/>
        <w:spacing w:line="576" w:lineRule="exac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    根据《中华人民共和国政府信息公开条例》（国务院令第711号，以下简称《条例》）、《国务院办公厅政府信息与政务公开办公室关于政府信息公开工作年度报告有关事项的通知》（国办公开办函〔2019〕60号）要求，现公布工布江达县退役军人事务局2020年政府信息公开工作年度报告。本报告包括总体情况、主动公开政府信息情况、收到和处理政府信息公开申请情况、政府信息公开行政复议和行政诉讼情况、存在的主要问题及改进情况、其他需要报告的事项等6个方面的内容。除特别说明的外，所列数据统计时限为2020年1月1日至2020年12月31日。公众如需进一步咨询了解相关信息，可与我单位联系（单位地址：林芝市工布江达县经一路；联系方式：5732388；电子邮箱：gbjdxtyjrswj@163.com；邮编860200）。</w:t>
      </w:r>
    </w:p>
    <w:p>
      <w:pPr>
        <w:widowControl/>
        <w:spacing w:line="576" w:lineRule="exact"/>
        <w:ind w:firstLine="480"/>
        <w:rPr>
          <w:rFonts w:ascii="黑体" w:hAnsi="黑体" w:eastAsia="黑体" w:cs="黑体"/>
          <w:color w:val="333333"/>
          <w:kern w:val="0"/>
          <w:sz w:val="32"/>
          <w:szCs w:val="32"/>
        </w:rPr>
      </w:pPr>
      <w:r>
        <w:rPr>
          <w:rFonts w:hint="eastAsia" w:ascii="黑体" w:hAnsi="黑体" w:eastAsia="黑体" w:cs="黑体"/>
          <w:color w:val="333333"/>
          <w:kern w:val="0"/>
          <w:sz w:val="32"/>
          <w:szCs w:val="32"/>
        </w:rPr>
        <w:t>一、总体情况</w:t>
      </w:r>
    </w:p>
    <w:p>
      <w:pPr>
        <w:pStyle w:val="5"/>
        <w:shd w:val="clear" w:color="auto" w:fill="FFFFFF"/>
        <w:spacing w:before="0" w:beforeAutospacing="0" w:after="0" w:afterAutospacing="0" w:line="560" w:lineRule="atLeast"/>
        <w:ind w:firstLine="640"/>
        <w:jc w:val="both"/>
        <w:rPr>
          <w:rFonts w:ascii="仿宋_GB2312" w:eastAsia="仿宋_GB2312"/>
          <w:color w:val="333333"/>
        </w:rPr>
      </w:pPr>
      <w:r>
        <w:rPr>
          <w:rFonts w:hint="eastAsia" w:ascii="仿宋_GB2312" w:eastAsia="仿宋_GB2312"/>
          <w:color w:val="333333"/>
          <w:sz w:val="32"/>
          <w:szCs w:val="32"/>
          <w:shd w:val="clear" w:color="auto" w:fill="FFFFFF"/>
        </w:rPr>
        <w:t>根据《条例》要求，本单位高度重视政府信息公开工作，调整了政府信息工作领导小组，并指定专人负责信息公开工作。</w:t>
      </w:r>
    </w:p>
    <w:p>
      <w:pPr>
        <w:pStyle w:val="5"/>
        <w:shd w:val="clear" w:color="auto" w:fill="FFFFFF"/>
        <w:spacing w:before="0" w:beforeAutospacing="0" w:after="0" w:afterAutospacing="0" w:line="560" w:lineRule="atLeast"/>
        <w:ind w:firstLine="640"/>
        <w:jc w:val="both"/>
        <w:rPr>
          <w:rFonts w:ascii="仿宋_GB2312" w:eastAsia="仿宋_GB2312"/>
          <w:color w:val="333333"/>
        </w:rPr>
      </w:pPr>
      <w:r>
        <w:rPr>
          <w:rFonts w:hint="eastAsia" w:ascii="仿宋_GB2312" w:eastAsia="仿宋_GB2312"/>
          <w:color w:val="333333"/>
          <w:sz w:val="32"/>
          <w:szCs w:val="32"/>
          <w:shd w:val="clear" w:color="auto" w:fill="FFFFFF"/>
        </w:rPr>
        <w:t>2020年，我局紧紧围绕“真诚服务、情系老兵”的服务宗旨，把政府信息公开工作作为推进各项退役军人事务工作的重要抓手，继续将政府信息公开与加强机关效能建设，党风廉政建设，机关作风建设相结合，满足了社会对退役军人事务部门信息公开的需求。本单位的具体做法是：</w:t>
      </w:r>
    </w:p>
    <w:p>
      <w:pPr>
        <w:pStyle w:val="5"/>
        <w:shd w:val="clear" w:color="auto" w:fill="FFFFFF"/>
        <w:spacing w:before="0" w:beforeAutospacing="0" w:after="0" w:afterAutospacing="0" w:line="560" w:lineRule="atLeast"/>
        <w:ind w:firstLine="640"/>
        <w:jc w:val="both"/>
        <w:rPr>
          <w:rFonts w:ascii="仿宋_GB2312" w:hAnsi="Calibri" w:eastAsia="仿宋_GB2312"/>
          <w:color w:val="333333"/>
        </w:rPr>
      </w:pPr>
      <w:r>
        <w:rPr>
          <w:rFonts w:hint="eastAsia" w:ascii="楷体" w:hAnsi="楷体" w:eastAsia="楷体"/>
          <w:color w:val="333333"/>
          <w:sz w:val="32"/>
          <w:szCs w:val="32"/>
          <w:shd w:val="clear" w:color="auto" w:fill="FFFFFF"/>
        </w:rPr>
        <w:t>一是加强领导。</w:t>
      </w:r>
      <w:r>
        <w:rPr>
          <w:rFonts w:hint="eastAsia" w:ascii="仿宋_GB2312" w:eastAsia="仿宋_GB2312"/>
          <w:color w:val="333333"/>
          <w:sz w:val="32"/>
          <w:szCs w:val="32"/>
          <w:shd w:val="clear" w:color="auto" w:fill="FFFFFF"/>
        </w:rPr>
        <w:t>调整了政府信息公开领导小组，明确了社会关注的信息内容、形式和责任人，确保信息公开工作的落实。</w:t>
      </w:r>
    </w:p>
    <w:p>
      <w:pPr>
        <w:pStyle w:val="5"/>
        <w:shd w:val="clear" w:color="auto" w:fill="FFFFFF"/>
        <w:spacing w:before="0" w:beforeAutospacing="0" w:after="0" w:afterAutospacing="0" w:line="560" w:lineRule="atLeast"/>
        <w:ind w:firstLine="640"/>
        <w:jc w:val="both"/>
        <w:rPr>
          <w:rFonts w:ascii="仿宋_GB2312" w:eastAsia="仿宋_GB2312"/>
          <w:color w:val="333333"/>
          <w:sz w:val="32"/>
          <w:szCs w:val="32"/>
          <w:shd w:val="clear" w:color="auto" w:fill="FFFFFF"/>
        </w:rPr>
      </w:pPr>
      <w:r>
        <w:rPr>
          <w:rFonts w:hint="eastAsia" w:ascii="楷体" w:hAnsi="楷体" w:eastAsia="楷体"/>
          <w:color w:val="333333"/>
          <w:sz w:val="32"/>
          <w:szCs w:val="32"/>
          <w:shd w:val="clear" w:color="auto" w:fill="FFFFFF"/>
        </w:rPr>
        <w:t>二是建立健全工作制度。</w:t>
      </w:r>
      <w:r>
        <w:rPr>
          <w:rFonts w:hint="eastAsia" w:ascii="仿宋_GB2312" w:eastAsia="仿宋_GB2312"/>
          <w:color w:val="333333"/>
          <w:sz w:val="32"/>
          <w:szCs w:val="32"/>
          <w:shd w:val="clear" w:color="auto" w:fill="FFFFFF"/>
        </w:rPr>
        <w:t>建立了以每名干部职工提供信息为基础、办公室牵头汇总的信息收集机制；建立了由办公室主任负责，联络员具体落实的信息公开责任机制；建立了公文办理与政府信息公开同步的工作机制。</w:t>
      </w:r>
    </w:p>
    <w:p>
      <w:pPr>
        <w:pStyle w:val="5"/>
        <w:shd w:val="clear" w:color="auto" w:fill="FFFFFF"/>
        <w:spacing w:before="0" w:beforeAutospacing="0" w:after="0" w:afterAutospacing="0" w:line="560" w:lineRule="atLeast"/>
        <w:ind w:firstLine="640"/>
        <w:jc w:val="both"/>
        <w:rPr>
          <w:rFonts w:ascii="Calibri" w:hAnsi="Calibri"/>
          <w:color w:val="333333"/>
        </w:rPr>
      </w:pPr>
      <w:r>
        <w:rPr>
          <w:rFonts w:hint="eastAsia" w:ascii="黑体" w:hAnsi="黑体" w:eastAsia="黑体" w:cs="黑体"/>
          <w:color w:val="333333"/>
          <w:sz w:val="32"/>
          <w:szCs w:val="32"/>
        </w:rPr>
        <w:t>二、主动公开政府信息情况</w:t>
      </w:r>
    </w:p>
    <w:tbl>
      <w:tblPr>
        <w:tblStyle w:val="6"/>
        <w:tblW w:w="0" w:type="auto"/>
        <w:jc w:val="center"/>
        <w:tblLayout w:type="fixed"/>
        <w:tblCellMar>
          <w:top w:w="0" w:type="dxa"/>
          <w:left w:w="108" w:type="dxa"/>
          <w:bottom w:w="0" w:type="dxa"/>
          <w:right w:w="108" w:type="dxa"/>
        </w:tblCellMar>
      </w:tblPr>
      <w:tblGrid>
        <w:gridCol w:w="3377"/>
        <w:gridCol w:w="2066"/>
        <w:gridCol w:w="6"/>
        <w:gridCol w:w="1265"/>
        <w:gridCol w:w="2129"/>
      </w:tblGrid>
      <w:tr>
        <w:tblPrEx>
          <w:tblCellMar>
            <w:top w:w="0" w:type="dxa"/>
            <w:left w:w="108" w:type="dxa"/>
            <w:bottom w:w="0" w:type="dxa"/>
            <w:right w:w="108" w:type="dxa"/>
          </w:tblCellMar>
        </w:tblPrEx>
        <w:trPr>
          <w:trHeight w:val="495"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第二十条第（一）项</w:t>
            </w:r>
          </w:p>
        </w:tc>
      </w:tr>
      <w:tr>
        <w:tblPrEx>
          <w:tblCellMar>
            <w:top w:w="0" w:type="dxa"/>
            <w:left w:w="108" w:type="dxa"/>
            <w:bottom w:w="0" w:type="dxa"/>
            <w:right w:w="108" w:type="dxa"/>
          </w:tblCellMar>
        </w:tblPrEx>
        <w:trPr>
          <w:trHeight w:val="882"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信息内容</w:t>
            </w:r>
          </w:p>
        </w:tc>
        <w:tc>
          <w:tcPr>
            <w:tcW w:w="206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hint="eastAsia" w:ascii="宋体" w:hAnsi="宋体" w:cs="宋体"/>
                <w:color w:val="333333"/>
                <w:kern w:val="0"/>
                <w:sz w:val="20"/>
                <w:szCs w:val="20"/>
              </w:rPr>
              <w:t>制作数量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hint="eastAsia" w:ascii="宋体" w:hAnsi="宋体" w:cs="宋体"/>
                <w:color w:val="333333"/>
                <w:kern w:val="0"/>
                <w:sz w:val="20"/>
                <w:szCs w:val="20"/>
              </w:rPr>
              <w:t>公开数量</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对外公开总数量</w:t>
            </w:r>
          </w:p>
        </w:tc>
      </w:tr>
      <w:tr>
        <w:tblPrEx>
          <w:tblCellMar>
            <w:top w:w="0" w:type="dxa"/>
            <w:left w:w="108" w:type="dxa"/>
            <w:bottom w:w="0" w:type="dxa"/>
            <w:right w:w="108" w:type="dxa"/>
          </w:tblCellMar>
        </w:tblPrEx>
        <w:trPr>
          <w:trHeight w:val="523"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规章</w:t>
            </w:r>
          </w:p>
        </w:tc>
        <w:tc>
          <w:tcPr>
            <w:tcW w:w="206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471"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规范性文件</w:t>
            </w:r>
          </w:p>
        </w:tc>
        <w:tc>
          <w:tcPr>
            <w:tcW w:w="20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127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480"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第二十条第（五）项</w:t>
            </w:r>
          </w:p>
        </w:tc>
      </w:tr>
      <w:tr>
        <w:tblPrEx>
          <w:tblCellMar>
            <w:top w:w="0" w:type="dxa"/>
            <w:left w:w="108" w:type="dxa"/>
            <w:bottom w:w="0" w:type="dxa"/>
            <w:right w:w="108" w:type="dxa"/>
          </w:tblCellMar>
        </w:tblPrEx>
        <w:trPr>
          <w:trHeight w:val="634"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信息内容</w:t>
            </w:r>
          </w:p>
        </w:tc>
        <w:tc>
          <w:tcPr>
            <w:tcW w:w="206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本年增/减</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处理决定数量</w:t>
            </w:r>
          </w:p>
        </w:tc>
      </w:tr>
      <w:tr>
        <w:tblPrEx>
          <w:tblCellMar>
            <w:top w:w="0" w:type="dxa"/>
            <w:left w:w="108" w:type="dxa"/>
            <w:bottom w:w="0" w:type="dxa"/>
            <w:right w:w="108" w:type="dxa"/>
          </w:tblCellMar>
        </w:tblPrEx>
        <w:trPr>
          <w:trHeight w:val="528"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行政许可</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126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550"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其他对外管理服务事项</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126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406"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第二十条第（六）项</w:t>
            </w:r>
          </w:p>
        </w:tc>
      </w:tr>
      <w:tr>
        <w:tblPrEx>
          <w:tblCellMar>
            <w:top w:w="0" w:type="dxa"/>
            <w:left w:w="108" w:type="dxa"/>
            <w:bottom w:w="0" w:type="dxa"/>
            <w:right w:w="108" w:type="dxa"/>
          </w:tblCellMar>
        </w:tblPrEx>
        <w:trPr>
          <w:trHeight w:val="634"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信息内容</w:t>
            </w:r>
          </w:p>
        </w:tc>
        <w:tc>
          <w:tcPr>
            <w:tcW w:w="206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本年增/减</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处理决定数量</w:t>
            </w:r>
          </w:p>
        </w:tc>
      </w:tr>
      <w:tr>
        <w:tblPrEx>
          <w:tblCellMar>
            <w:top w:w="0" w:type="dxa"/>
            <w:left w:w="108" w:type="dxa"/>
            <w:bottom w:w="0" w:type="dxa"/>
            <w:right w:w="108" w:type="dxa"/>
          </w:tblCellMar>
        </w:tblPrEx>
        <w:trPr>
          <w:trHeight w:val="430"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行政处罚</w:t>
            </w:r>
          </w:p>
        </w:tc>
        <w:tc>
          <w:tcPr>
            <w:tcW w:w="2072"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12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409"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行政强制</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126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212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474"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第二十条第（八）项</w:t>
            </w:r>
          </w:p>
        </w:tc>
      </w:tr>
      <w:tr>
        <w:tblPrEx>
          <w:tblCellMar>
            <w:top w:w="0" w:type="dxa"/>
            <w:left w:w="108" w:type="dxa"/>
            <w:bottom w:w="0" w:type="dxa"/>
            <w:right w:w="108" w:type="dxa"/>
          </w:tblCellMar>
        </w:tblPrEx>
        <w:trPr>
          <w:trHeight w:val="270"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信息内容</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上一年项目数量</w:t>
            </w:r>
          </w:p>
        </w:tc>
        <w:tc>
          <w:tcPr>
            <w:tcW w:w="3394"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本年增/减</w:t>
            </w:r>
          </w:p>
        </w:tc>
      </w:tr>
      <w:tr>
        <w:tblPrEx>
          <w:tblCellMar>
            <w:top w:w="0" w:type="dxa"/>
            <w:left w:w="108" w:type="dxa"/>
            <w:bottom w:w="0" w:type="dxa"/>
            <w:right w:w="108" w:type="dxa"/>
          </w:tblCellMar>
        </w:tblPrEx>
        <w:trPr>
          <w:trHeight w:val="551"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行政事业性收费</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3394"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r>
        <w:tblPrEx>
          <w:tblCellMar>
            <w:top w:w="0" w:type="dxa"/>
            <w:left w:w="108" w:type="dxa"/>
            <w:bottom w:w="0" w:type="dxa"/>
            <w:right w:w="108" w:type="dxa"/>
          </w:tblCellMar>
        </w:tblPrEx>
        <w:trPr>
          <w:trHeight w:val="476"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第二十条第（九）项</w:t>
            </w:r>
          </w:p>
        </w:tc>
      </w:tr>
      <w:tr>
        <w:tblPrEx>
          <w:tblCellMar>
            <w:top w:w="0" w:type="dxa"/>
            <w:left w:w="108" w:type="dxa"/>
            <w:bottom w:w="0" w:type="dxa"/>
            <w:right w:w="108" w:type="dxa"/>
          </w:tblCellMar>
        </w:tblPrEx>
        <w:trPr>
          <w:trHeight w:val="585"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信息内容</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采购项目数量</w:t>
            </w:r>
          </w:p>
        </w:tc>
        <w:tc>
          <w:tcPr>
            <w:tcW w:w="3394"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000000"/>
                <w:kern w:val="0"/>
                <w:sz w:val="20"/>
                <w:szCs w:val="20"/>
              </w:rPr>
              <w:t>采购总金额</w:t>
            </w:r>
          </w:p>
        </w:tc>
      </w:tr>
      <w:tr>
        <w:tblPrEx>
          <w:tblCellMar>
            <w:top w:w="0" w:type="dxa"/>
            <w:left w:w="108" w:type="dxa"/>
            <w:bottom w:w="0" w:type="dxa"/>
            <w:right w:w="108" w:type="dxa"/>
          </w:tblCellMar>
        </w:tblPrEx>
        <w:trPr>
          <w:trHeight w:val="539" w:hRule="atLeast"/>
          <w:jc w:val="center"/>
        </w:trPr>
        <w:tc>
          <w:tcPr>
            <w:tcW w:w="3377"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 w:val="20"/>
                <w:szCs w:val="20"/>
              </w:rPr>
            </w:pPr>
            <w:r>
              <w:rPr>
                <w:rFonts w:hint="eastAsia" w:ascii="宋体" w:hAnsi="宋体" w:cs="宋体"/>
                <w:color w:val="000000"/>
                <w:kern w:val="0"/>
                <w:sz w:val="20"/>
                <w:szCs w:val="20"/>
              </w:rPr>
              <w:t>政府集中采购</w:t>
            </w:r>
          </w:p>
        </w:tc>
        <w:tc>
          <w:tcPr>
            <w:tcW w:w="2072"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c>
          <w:tcPr>
            <w:tcW w:w="3394"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333333"/>
                <w:kern w:val="0"/>
                <w:sz w:val="20"/>
                <w:szCs w:val="20"/>
              </w:rPr>
            </w:pPr>
            <w:r>
              <w:rPr>
                <w:rFonts w:hint="eastAsia" w:ascii="宋体" w:hAnsi="宋体" w:cs="宋体"/>
                <w:color w:val="333333"/>
                <w:kern w:val="0"/>
                <w:sz w:val="20"/>
                <w:szCs w:val="20"/>
              </w:rPr>
              <w:t>0</w:t>
            </w:r>
          </w:p>
        </w:tc>
      </w:tr>
    </w:tbl>
    <w:p>
      <w:pPr>
        <w:widowControl/>
        <w:spacing w:line="576" w:lineRule="exact"/>
        <w:rPr>
          <w:rFonts w:ascii="黑体" w:hAnsi="黑体" w:eastAsia="黑体" w:cs="黑体"/>
          <w:color w:val="333333"/>
          <w:kern w:val="0"/>
          <w:sz w:val="32"/>
          <w:szCs w:val="32"/>
        </w:rPr>
      </w:pPr>
      <w:r>
        <w:rPr>
          <w:rFonts w:hint="eastAsia" w:ascii="黑体" w:hAnsi="黑体" w:eastAsia="黑体" w:cs="黑体"/>
          <w:color w:val="333333"/>
          <w:kern w:val="0"/>
          <w:sz w:val="32"/>
          <w:szCs w:val="32"/>
        </w:rPr>
        <w:t>三、收到和处理政府信息公开申请情况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商业企业</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科研机构</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社会公益组织</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法律服务机构</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Calibri" w:hAnsi="Calibri"/>
                <w:color w:val="333333"/>
                <w:sz w:val="20"/>
                <w:szCs w:val="20"/>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Calibri" w:hAnsi="Calibri"/>
                <w:color w:val="333333"/>
                <w:sz w:val="20"/>
                <w:szCs w:val="20"/>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（一）予以公开</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（三）不予公开</w:t>
            </w: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1.属于国家秘密</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（四）无法提供</w:t>
            </w: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（五）不予处理</w:t>
            </w: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2.重复申请</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（六）其他处理</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楷体" w:hAnsi="楷体" w:eastAsia="楷体" w:cs="宋体"/>
                <w:color w:val="333333"/>
                <w:sz w:val="20"/>
                <w:szCs w:val="20"/>
              </w:rPr>
              <w:t>（七）总计</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r>
              <w:rPr>
                <w:rFonts w:hint="eastAsia" w:ascii="Calibri" w:hAnsi="Calibri"/>
                <w:color w:val="333333"/>
                <w:sz w:val="20"/>
                <w:szCs w:val="20"/>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bl>
    <w:p>
      <w:pPr>
        <w:widowControl/>
        <w:spacing w:line="576" w:lineRule="exact"/>
        <w:ind w:firstLine="480"/>
        <w:rPr>
          <w:rFonts w:ascii="黑体" w:hAnsi="黑体" w:eastAsia="黑体" w:cs="黑体"/>
          <w:color w:val="333333"/>
          <w:kern w:val="0"/>
          <w:sz w:val="32"/>
          <w:szCs w:val="32"/>
        </w:rPr>
      </w:pPr>
      <w:r>
        <w:rPr>
          <w:rFonts w:hint="eastAsia" w:ascii="黑体" w:hAnsi="黑体" w:eastAsia="黑体" w:cs="黑体"/>
          <w:color w:val="333333"/>
          <w:kern w:val="0"/>
          <w:sz w:val="32"/>
          <w:szCs w:val="32"/>
        </w:rPr>
        <w:t>四、政府信息公开行政复议、行政诉讼情况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5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55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bl>
    <w:p>
      <w:pPr>
        <w:widowControl/>
        <w:spacing w:line="576" w:lineRule="exact"/>
        <w:ind w:firstLine="480"/>
        <w:rPr>
          <w:rFonts w:ascii="黑体" w:hAnsi="黑体" w:eastAsia="黑体" w:cs="黑体"/>
          <w:color w:val="333333"/>
          <w:kern w:val="0"/>
          <w:sz w:val="32"/>
          <w:szCs w:val="32"/>
        </w:rPr>
      </w:pPr>
      <w:r>
        <w:rPr>
          <w:rFonts w:hint="eastAsia" w:ascii="黑体" w:hAnsi="黑体" w:eastAsia="黑体" w:cs="黑体"/>
          <w:color w:val="333333"/>
          <w:kern w:val="0"/>
          <w:sz w:val="32"/>
          <w:szCs w:val="32"/>
        </w:rPr>
        <w:t>五、存在的主要问题及改进情况</w:t>
      </w:r>
    </w:p>
    <w:p>
      <w:pPr>
        <w:pStyle w:val="5"/>
        <w:shd w:val="clear" w:color="auto" w:fill="FFFFFF"/>
        <w:spacing w:before="0" w:beforeAutospacing="0" w:after="0" w:afterAutospacing="0" w:line="560" w:lineRule="atLeast"/>
        <w:ind w:firstLine="645"/>
        <w:jc w:val="both"/>
        <w:rPr>
          <w:rFonts w:ascii="仿宋_GB2312" w:eastAsia="仿宋_GB2312"/>
          <w:color w:val="333333"/>
        </w:rPr>
      </w:pPr>
      <w:r>
        <w:rPr>
          <w:rFonts w:hint="eastAsia" w:ascii="仿宋_GB2312" w:eastAsia="仿宋_GB2312"/>
          <w:color w:val="000000"/>
          <w:sz w:val="32"/>
          <w:szCs w:val="32"/>
          <w:shd w:val="clear" w:color="auto" w:fill="FFFFFF"/>
        </w:rPr>
        <w:t>随着政府信息公开工作的不断深入推进，今年我局全年的政府信息公开工作总体看来运行状况较好，但也在工作中还存在着一些不足和困难：一是退役军人事务工作涉密性强，根据上级部门要求，退役军人事务工作均不能信息公开。二是工作机制待进一步完善。三是宣传力度不够，认识未到位。</w:t>
      </w:r>
    </w:p>
    <w:p>
      <w:pPr>
        <w:pStyle w:val="5"/>
        <w:shd w:val="clear" w:color="auto" w:fill="FFFFFF"/>
        <w:spacing w:before="0" w:beforeAutospacing="0" w:after="0" w:afterAutospacing="0" w:line="560" w:lineRule="atLeast"/>
        <w:ind w:firstLine="645"/>
        <w:jc w:val="both"/>
        <w:rPr>
          <w:rFonts w:ascii="仿宋_GB2312" w:eastAsia="仿宋_GB2312"/>
          <w:color w:val="333333"/>
        </w:rPr>
      </w:pPr>
      <w:r>
        <w:rPr>
          <w:rFonts w:hint="eastAsia" w:ascii="仿宋_GB2312" w:eastAsia="仿宋_GB2312"/>
          <w:color w:val="000000"/>
          <w:sz w:val="32"/>
          <w:szCs w:val="32"/>
          <w:shd w:val="clear" w:color="auto" w:fill="FFFFFF"/>
        </w:rPr>
        <w:t>下一步，我局将进一步增强做好政务公开、政府信息公开工作的使命意识、责任意识，采取以下改进措施：一是不断健全完善本单位政府信息公开工作机制，深化政府信息公开工作，克服工作中的薄弱环节，不断提高政府信息公开工作质量，切实做好信息的更新维护和规范化管理，确保政府信息公开工作长效运行。二是紧紧围绕退役军人群体关注的热点、难点问题，加大相关政府信息公开的力度，使公众充分了解退役军人事务工作，支持退役军人事务局事业的发展。三是是切实抓好政府信息公开与退役军人事务基础管理工作的良性互动。将深入推进政府信息公开工作与不断加强退役军人事务局制度建设，</w:t>
      </w:r>
    </w:p>
    <w:p>
      <w:pPr>
        <w:widowControl/>
        <w:spacing w:line="576" w:lineRule="exact"/>
        <w:ind w:firstLine="480"/>
        <w:rPr>
          <w:rFonts w:ascii="黑体" w:hAnsi="黑体" w:eastAsia="黑体" w:cs="黑体"/>
          <w:color w:val="333333"/>
          <w:kern w:val="0"/>
          <w:sz w:val="32"/>
          <w:szCs w:val="32"/>
        </w:rPr>
      </w:pPr>
      <w:r>
        <w:rPr>
          <w:rFonts w:hint="eastAsia" w:ascii="黑体" w:hAnsi="黑体" w:eastAsia="黑体" w:cs="黑体"/>
          <w:color w:val="333333"/>
          <w:kern w:val="0"/>
          <w:sz w:val="32"/>
          <w:szCs w:val="32"/>
        </w:rPr>
        <w:t>六、其他需要报告的事项</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 xml:space="preserve">    无</w:t>
      </w:r>
    </w:p>
    <w:p>
      <w:pPr>
        <w:spacing w:line="540" w:lineRule="exact"/>
        <w:rPr>
          <w:rFonts w:ascii="方正仿宋_GBK" w:eastAsia="方正仿宋_GBK"/>
          <w:sz w:val="32"/>
          <w:szCs w:val="32"/>
        </w:rPr>
      </w:pPr>
    </w:p>
    <w:p>
      <w:pPr>
        <w:spacing w:line="540" w:lineRule="exact"/>
        <w:rPr>
          <w:rFonts w:hint="eastAsia" w:ascii="方正仿宋_GBK" w:eastAsia="方正仿宋_GBK"/>
          <w:sz w:val="32"/>
          <w:szCs w:val="32"/>
        </w:rPr>
      </w:pPr>
      <w:r>
        <w:rPr>
          <w:rFonts w:hint="eastAsia" w:ascii="方正仿宋_GBK" w:eastAsia="方正仿宋_GBK"/>
          <w:sz w:val="32"/>
          <w:szCs w:val="32"/>
        </w:rPr>
        <w:t>附件</w:t>
      </w:r>
      <w:r>
        <w:rPr>
          <w:rFonts w:ascii="方正仿宋_GBK" w:eastAsia="方正仿宋_GBK"/>
          <w:sz w:val="32"/>
          <w:szCs w:val="32"/>
        </w:rPr>
        <w:t>：政府信息公开情况统计表</w:t>
      </w:r>
    </w:p>
    <w:p>
      <w:pPr>
        <w:spacing w:line="540" w:lineRule="exact"/>
        <w:rPr>
          <w:rFonts w:hint="eastAsia" w:ascii="方正仿宋_GBK" w:eastAsia="方正仿宋_GBK"/>
          <w:sz w:val="32"/>
          <w:szCs w:val="32"/>
        </w:rPr>
      </w:pPr>
      <w:r>
        <w:rPr>
          <w:rFonts w:hint="eastAsia" w:ascii="方正仿宋_GBK" w:eastAsia="方正仿宋_GBK"/>
          <w:sz w:val="32"/>
          <w:szCs w:val="32"/>
        </w:rPr>
        <w:t xml:space="preserve"> </w:t>
      </w:r>
    </w:p>
    <w:p>
      <w:pPr>
        <w:spacing w:line="540" w:lineRule="exact"/>
        <w:rPr>
          <w:rFonts w:hint="eastAsia" w:ascii="方正仿宋_GBK" w:eastAsia="方正仿宋_GBK"/>
          <w:sz w:val="32"/>
          <w:szCs w:val="32"/>
        </w:rPr>
      </w:pPr>
    </w:p>
    <w:p>
      <w:pPr>
        <w:spacing w:line="540" w:lineRule="exact"/>
        <w:ind w:firstLine="4800" w:firstLineChars="1500"/>
        <w:rPr>
          <w:rFonts w:hint="eastAsia" w:ascii="仿宋_GB2312" w:eastAsia="仿宋_GB2312"/>
          <w:sz w:val="32"/>
          <w:szCs w:val="32"/>
        </w:rPr>
      </w:pPr>
      <w:r>
        <w:rPr>
          <w:rFonts w:hint="eastAsia" w:ascii="仿宋_GB2312" w:eastAsia="仿宋_GB2312"/>
          <w:sz w:val="32"/>
          <w:szCs w:val="32"/>
        </w:rPr>
        <w:t>工布江达县退役军人事务局</w:t>
      </w:r>
    </w:p>
    <w:p>
      <w:pPr>
        <w:spacing w:line="540" w:lineRule="exact"/>
        <w:ind w:firstLine="5440" w:firstLineChars="17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1</w:t>
      </w:r>
      <w:bookmarkStart w:id="0" w:name="_GoBack"/>
      <w:bookmarkEnd w:id="0"/>
      <w:r>
        <w:rPr>
          <w:rFonts w:hint="eastAsia" w:ascii="仿宋_GB2312" w:eastAsia="仿宋_GB2312"/>
          <w:sz w:val="32"/>
          <w:szCs w:val="32"/>
        </w:rPr>
        <w:t>月28日</w:t>
      </w:r>
    </w:p>
    <w:p>
      <w:pPr>
        <w:spacing w:line="540" w:lineRule="exact"/>
        <w:ind w:firstLine="3520" w:firstLineChars="1100"/>
        <w:rPr>
          <w:rFonts w:hint="eastAsia" w:ascii="仿宋_GB2312" w:eastAsia="仿宋_GB2312"/>
          <w:sz w:val="32"/>
          <w:szCs w:val="32"/>
        </w:rPr>
      </w:pPr>
    </w:p>
    <w:sectPr>
      <w:footerReference r:id="rId3" w:type="default"/>
      <w:footerReference r:id="rId4" w:type="even"/>
      <w:pgSz w:w="11906" w:h="16838"/>
      <w:pgMar w:top="2098" w:right="1588" w:bottom="1418"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- 5 -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4458"/>
    <w:rsid w:val="001102D8"/>
    <w:rsid w:val="00172A27"/>
    <w:rsid w:val="001B4015"/>
    <w:rsid w:val="00362318"/>
    <w:rsid w:val="003C0596"/>
    <w:rsid w:val="00523A8E"/>
    <w:rsid w:val="005A58D4"/>
    <w:rsid w:val="00600C8D"/>
    <w:rsid w:val="006071C1"/>
    <w:rsid w:val="006D6680"/>
    <w:rsid w:val="00863362"/>
    <w:rsid w:val="008D24D5"/>
    <w:rsid w:val="00BB2495"/>
    <w:rsid w:val="00D57A7A"/>
    <w:rsid w:val="00D869CB"/>
    <w:rsid w:val="00E21886"/>
    <w:rsid w:val="00EF32DA"/>
    <w:rsid w:val="00EF49A0"/>
    <w:rsid w:val="00F521AC"/>
    <w:rsid w:val="150A3B8B"/>
    <w:rsid w:val="2F9D3750"/>
    <w:rsid w:val="37DB445E"/>
    <w:rsid w:val="5F5E76B1"/>
    <w:rsid w:val="67D8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customStyle="1" w:styleId="9">
    <w:name w:val="页眉 Char"/>
    <w:link w:val="4"/>
    <w:uiPriority w:val="0"/>
    <w:rPr>
      <w:kern w:val="2"/>
      <w:sz w:val="18"/>
      <w:szCs w:val="18"/>
    </w:rPr>
  </w:style>
  <w:style w:type="character" w:customStyle="1" w:styleId="10">
    <w:name w:val="日期 Char"/>
    <w:link w:val="2"/>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A906D-DBAC-48C5-8868-9CF71BE8C4C6}">
  <ds:schemaRefs/>
</ds:datastoreItem>
</file>

<file path=docProps/app.xml><?xml version="1.0" encoding="utf-8"?>
<Properties xmlns="http://schemas.openxmlformats.org/officeDocument/2006/extended-properties" xmlns:vt="http://schemas.openxmlformats.org/officeDocument/2006/docPropsVTypes">
  <Template>Normal</Template>
  <Pages>5</Pages>
  <Words>368</Words>
  <Characters>2101</Characters>
  <Lines>17</Lines>
  <Paragraphs>4</Paragraphs>
  <TotalTime>16</TotalTime>
  <ScaleCrop>false</ScaleCrop>
  <LinksUpToDate>false</LinksUpToDate>
  <CharactersWithSpaces>2465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2021-01-27T02:33:00Z</dcterms:created>
  <dc:creator>xxc</dc:creator>
  <cp:lastModifiedBy>%E5%90%B4%E7%90%BC</cp:lastModifiedBy>
  <cp:lastPrinted>2021-01-22T02:22:00Z</cp:lastPrinted>
  <dcterms:modified xsi:type="dcterms:W3CDTF">2021-02-03T13:42:23Z</dcterms:modified>
  <dc:title>西藏自治区政务公开领导小组</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261518639_btnclosed</vt:lpwstr>
  </property>
  <property fmtid="{D5CDD505-2E9C-101B-9397-08002B2CF9AE}" pid="4" name="_DocHome">
    <vt:i4>-1546253971</vt:i4>
  </property>
</Properties>
</file>