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r>
        <w:rPr>
          <w:rFonts w:hint="eastAsia" w:ascii="方正小标宋简体" w:hAnsi="方正小标宋简体" w:eastAsia="方正小标宋简体" w:cs="方正小标宋简体"/>
          <w:b w:val="0"/>
          <w:bCs w:val="0"/>
          <w:color w:val="333333"/>
          <w:kern w:val="0"/>
          <w:sz w:val="44"/>
          <w:szCs w:val="44"/>
          <w:lang w:eastAsia="zh-CN"/>
        </w:rPr>
        <w:t>工布江达县</w:t>
      </w:r>
      <w:r>
        <w:rPr>
          <w:rFonts w:hint="eastAsia" w:ascii="方正小标宋简体" w:hAnsi="方正小标宋简体" w:eastAsia="方正小标宋简体" w:cs="方正小标宋简体"/>
          <w:b w:val="0"/>
          <w:bCs w:val="0"/>
          <w:color w:val="333333"/>
          <w:kern w:val="0"/>
          <w:sz w:val="44"/>
          <w:szCs w:val="44"/>
          <w:lang w:val="en-US" w:eastAsia="zh-CN"/>
        </w:rPr>
        <w:t>2020年政府信息公开工作</w:t>
      </w:r>
    </w:p>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r>
        <w:rPr>
          <w:rFonts w:hint="eastAsia" w:ascii="方正小标宋简体" w:hAnsi="方正小标宋简体" w:eastAsia="方正小标宋简体" w:cs="方正小标宋简体"/>
          <w:b w:val="0"/>
          <w:bCs w:val="0"/>
          <w:color w:val="333333"/>
          <w:kern w:val="0"/>
          <w:sz w:val="44"/>
          <w:szCs w:val="44"/>
          <w:lang w:val="en-US" w:eastAsia="zh-CN"/>
        </w:rPr>
        <w:t>年度报告</w:t>
      </w:r>
    </w:p>
    <w:p>
      <w:pPr>
        <w:widowControl/>
        <w:spacing w:line="576" w:lineRule="exact"/>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ascii="宋体" w:hAnsi="宋体" w:cs="宋体"/>
          <w:color w:val="333333"/>
          <w:kern w:val="0"/>
          <w:sz w:val="24"/>
        </w:rPr>
      </w:pPr>
      <w:r>
        <w:rPr>
          <w:rFonts w:hint="eastAsia" w:ascii="仿宋_GB2312" w:hAnsi="仿宋_GB2312" w:eastAsia="仿宋_GB2312" w:cs="仿宋_GB2312"/>
          <w:b w:val="0"/>
          <w:bCs w:val="0"/>
          <w:color w:val="333333"/>
          <w:kern w:val="0"/>
          <w:sz w:val="32"/>
          <w:szCs w:val="32"/>
          <w:lang w:val="en-US" w:eastAsia="zh-CN"/>
        </w:rPr>
        <w:t xml:space="preserve">    根据《中华人民共和国政府信息公开条例》（国务院令第711号，以下简称《条例》）、《国务院办公厅政府信息与政务公开办公室关于政府信息公开工作年度报告有关事项的通知》（国办公开办函〔2019〕60号）要求，现公布工布江达县人民政府办公室2020年政府信息公开工作年度报告。本报告包括总体情况、主动公开政府信息情况、收到和处理政府信息公开申请情况、政府信息公开行政复议和行政诉讼情况、存在的主要问题及改进情况、其他需要报告的事项等6个方面的内容。除特别说明的外，所列数据统计时限为2020年1月1日至2020年12月31日。报告电子版可在工布江达县人民政府网站进行下载（网址：http://www.gongbujiangda.gov.cn）公众如需进一步咨询了解相关信息，可与我单位联系（单位地址：</w:t>
      </w:r>
      <w:r>
        <w:rPr>
          <w:rFonts w:hint="eastAsia" w:ascii="仿宋_GB2312" w:hAnsi="仿宋_GB2312" w:eastAsia="仿宋_GB2312" w:cs="仿宋_GB2312"/>
          <w:b w:val="0"/>
          <w:bCs w:val="0"/>
          <w:color w:val="333333"/>
          <w:kern w:val="0"/>
          <w:sz w:val="32"/>
          <w:szCs w:val="32"/>
          <w:u w:val="none"/>
          <w:lang w:val="en-US" w:eastAsia="zh-CN"/>
        </w:rPr>
        <w:t>西藏自治区林芝市工布江达县果林路北5号</w:t>
      </w:r>
      <w:r>
        <w:rPr>
          <w:rFonts w:hint="eastAsia" w:ascii="仿宋_GB2312" w:hAnsi="仿宋_GB2312" w:eastAsia="仿宋_GB2312" w:cs="仿宋_GB2312"/>
          <w:b w:val="0"/>
          <w:bCs w:val="0"/>
          <w:color w:val="333333"/>
          <w:kern w:val="0"/>
          <w:sz w:val="32"/>
          <w:szCs w:val="32"/>
          <w:lang w:val="en-US" w:eastAsia="zh-CN"/>
        </w:rPr>
        <w:t>；联系方式：0894-5731699；电子邮箱：gbjdxrmzf@163.com；邮编860200）。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9"/>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2020年，工布江达县人民政府在市委、市政府的坚强领导下，以《中华人民共和国政府信息公开条例》为根本遵循，紧密结合工作实际，认真贯彻落实国务院、自治区、市关于全面推进政务公开工作的各项决策部署，坚持将“以公开为常态、不公开为例外”原则落实到政府信息公开工作的各个方面，积极回应社会关切，有效提升政府公信力</w:t>
      </w:r>
      <w:r>
        <w:rPr>
          <w:rFonts w:ascii="仿宋" w:hAnsi="仿宋" w:eastAsia="仿宋" w:cs="仿宋"/>
          <w:i w:val="0"/>
          <w:caps w:val="0"/>
          <w:color w:val="333333"/>
          <w:spacing w:val="0"/>
          <w:sz w:val="25"/>
          <w:szCs w:val="25"/>
          <w:shd w:val="clear" w:fill="FFFFFF"/>
        </w:rPr>
        <w:t>。</w:t>
      </w:r>
      <w:r>
        <w:rPr>
          <w:rFonts w:hint="eastAsia" w:ascii="仿宋_GB2312" w:hAnsi="宋体" w:eastAsia="仿宋_GB2312" w:cs="宋体"/>
          <w:b/>
          <w:bCs/>
          <w:color w:val="000000"/>
          <w:kern w:val="0"/>
          <w:sz w:val="32"/>
          <w:szCs w:val="32"/>
          <w:lang w:val="en-US" w:eastAsia="zh-CN"/>
        </w:rPr>
        <w:t>一是加强组织保障。</w:t>
      </w:r>
      <w:r>
        <w:rPr>
          <w:rFonts w:hint="eastAsia" w:ascii="仿宋_GB2312" w:hAnsi="宋体" w:eastAsia="仿宋_GB2312" w:cs="宋体"/>
          <w:color w:val="000000"/>
          <w:kern w:val="0"/>
          <w:sz w:val="32"/>
          <w:szCs w:val="32"/>
          <w:lang w:val="en-US" w:eastAsia="zh-CN"/>
        </w:rPr>
        <w:t>根据上级要求及我县工作实际，及时调整充实了工布江达县政务公开领导小组，规范信息公开审核发布机制，严格保密审查，为全县信息公开工作顺利开展提供有效指导。</w:t>
      </w:r>
      <w:r>
        <w:rPr>
          <w:rFonts w:hint="eastAsia" w:ascii="仿宋_GB2312" w:hAnsi="宋体" w:eastAsia="仿宋_GB2312" w:cs="宋体"/>
          <w:b/>
          <w:bCs/>
          <w:color w:val="000000"/>
          <w:kern w:val="0"/>
          <w:sz w:val="32"/>
          <w:szCs w:val="32"/>
          <w:lang w:val="en-US" w:eastAsia="zh-CN"/>
        </w:rPr>
        <w:t>二是加大主动公开力度。</w:t>
      </w:r>
      <w:r>
        <w:rPr>
          <w:rFonts w:hint="eastAsia" w:ascii="仿宋_GB2312" w:hAnsi="宋体" w:eastAsia="仿宋_GB2312" w:cs="宋体"/>
          <w:b w:val="0"/>
          <w:bCs w:val="0"/>
          <w:color w:val="000000"/>
          <w:kern w:val="0"/>
          <w:sz w:val="32"/>
          <w:szCs w:val="32"/>
          <w:lang w:val="en-US" w:eastAsia="zh-CN"/>
        </w:rPr>
        <w:t>不断拓宽公开渠道，截至目前，全县运行政府门户网站1个，政</w:t>
      </w:r>
      <w:r>
        <w:rPr>
          <w:rFonts w:hint="eastAsia" w:ascii="仿宋_GB2312" w:hAnsi="宋体" w:eastAsia="仿宋_GB2312" w:cs="宋体"/>
          <w:color w:val="000000"/>
          <w:kern w:val="0"/>
          <w:sz w:val="32"/>
          <w:szCs w:val="32"/>
          <w:lang w:val="en-US" w:eastAsia="zh-CN"/>
        </w:rPr>
        <w:t>务新媒体13个，在推进政府信息公开、助力法治政府建设、扩大行政决策公众参与度等方面起到了积极作用。全面通过政府门户网站、政务新媒体公开各类信息713条。</w:t>
      </w:r>
      <w:r>
        <w:rPr>
          <w:rFonts w:hint="eastAsia" w:ascii="仿宋_GB2312" w:hAnsi="宋体" w:eastAsia="仿宋_GB2312" w:cs="宋体"/>
          <w:b/>
          <w:bCs/>
          <w:color w:val="000000"/>
          <w:kern w:val="0"/>
          <w:sz w:val="32"/>
          <w:szCs w:val="32"/>
          <w:lang w:val="en-US" w:eastAsia="zh-CN"/>
        </w:rPr>
        <w:t>三是积极回应社会关切。</w:t>
      </w:r>
      <w:r>
        <w:rPr>
          <w:rFonts w:hint="eastAsia" w:ascii="仿宋_GB2312" w:hAnsi="宋体" w:eastAsia="仿宋_GB2312" w:cs="宋体"/>
          <w:color w:val="000000"/>
          <w:kern w:val="0"/>
          <w:sz w:val="32"/>
          <w:szCs w:val="32"/>
          <w:lang w:val="en-US" w:eastAsia="zh-CN"/>
        </w:rPr>
        <w:t>县级领导参加新闻发布会1场次，通过政务新媒体发布政策解读稿件2个，通过县长信箱办理群众群众留言2件。</w:t>
      </w:r>
      <w:r>
        <w:rPr>
          <w:rFonts w:hint="eastAsia" w:ascii="仿宋_GB2312" w:hAnsi="宋体" w:eastAsia="仿宋_GB2312" w:cs="宋体"/>
          <w:b/>
          <w:bCs/>
          <w:color w:val="000000"/>
          <w:kern w:val="0"/>
          <w:sz w:val="32"/>
          <w:szCs w:val="32"/>
          <w:lang w:val="en-US" w:eastAsia="zh-CN"/>
        </w:rPr>
        <w:t>四是加快推</w:t>
      </w:r>
      <w:bookmarkStart w:id="0" w:name="_GoBack"/>
      <w:bookmarkEnd w:id="0"/>
      <w:r>
        <w:rPr>
          <w:rFonts w:hint="eastAsia" w:ascii="仿宋_GB2312" w:hAnsi="宋体" w:eastAsia="仿宋_GB2312" w:cs="宋体"/>
          <w:b/>
          <w:bCs/>
          <w:color w:val="000000"/>
          <w:kern w:val="0"/>
          <w:sz w:val="32"/>
          <w:szCs w:val="32"/>
          <w:lang w:val="en-US" w:eastAsia="zh-CN"/>
        </w:rPr>
        <w:t>进政府信息公开规范化建设。</w:t>
      </w:r>
      <w:r>
        <w:rPr>
          <w:rFonts w:hint="eastAsia" w:ascii="仿宋_GB2312" w:hAnsi="宋体" w:eastAsia="仿宋_GB2312" w:cs="宋体"/>
          <w:color w:val="000000"/>
          <w:kern w:val="0"/>
          <w:sz w:val="32"/>
          <w:szCs w:val="32"/>
          <w:lang w:val="en-US" w:eastAsia="zh-CN"/>
        </w:rPr>
        <w:t>根据工作要求，组织9个乡镇和相关政府组成部门编制完成了基层试点领域基层政务公开目录，并在县人民政府门户网站进行了公开。积极开展政务新媒体基本情况摸底和“全国政务新媒体报送系统”填报工作，对全县政务新媒体有了全面了解掌握，并于12月底对各单位政务新媒体进行了抽查，督促各单位及时主动公开政府信息。</w:t>
      </w:r>
    </w:p>
    <w:p>
      <w:pPr>
        <w:widowControl/>
        <w:spacing w:line="576" w:lineRule="exact"/>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二、主动公开政府信息情况</w:t>
      </w:r>
    </w:p>
    <w:tbl>
      <w:tblPr>
        <w:tblStyle w:val="7"/>
        <w:tblW w:w="8843" w:type="dxa"/>
        <w:jc w:val="center"/>
        <w:tblInd w:w="0" w:type="dxa"/>
        <w:tblLayout w:type="fixed"/>
        <w:tblCellMar>
          <w:top w:w="0" w:type="dxa"/>
          <w:left w:w="108" w:type="dxa"/>
          <w:bottom w:w="0" w:type="dxa"/>
          <w:right w:w="108" w:type="dxa"/>
        </w:tblCellMar>
      </w:tblPr>
      <w:tblGrid>
        <w:gridCol w:w="3377"/>
        <w:gridCol w:w="2066"/>
        <w:gridCol w:w="6"/>
        <w:gridCol w:w="1265"/>
        <w:gridCol w:w="2129"/>
      </w:tblGrid>
      <w:tr>
        <w:tblPrEx>
          <w:tblLayout w:type="fixed"/>
          <w:tblCellMar>
            <w:top w:w="0" w:type="dxa"/>
            <w:left w:w="108" w:type="dxa"/>
            <w:bottom w:w="0" w:type="dxa"/>
            <w:right w:w="108" w:type="dxa"/>
          </w:tblCellMar>
        </w:tblPrEx>
        <w:trPr>
          <w:trHeight w:val="495"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第二十条第（一）项</w:t>
            </w:r>
          </w:p>
        </w:tc>
      </w:tr>
      <w:tr>
        <w:tblPrEx>
          <w:tblLayout w:type="fixed"/>
          <w:tblCellMar>
            <w:top w:w="0" w:type="dxa"/>
            <w:left w:w="108" w:type="dxa"/>
            <w:bottom w:w="0" w:type="dxa"/>
            <w:right w:w="108" w:type="dxa"/>
          </w:tblCellMar>
        </w:tblPrEx>
        <w:trPr>
          <w:trHeight w:val="882"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宋体" w:hAnsi="宋体" w:eastAsia="宋体" w:cs="宋体"/>
                <w:color w:val="333333"/>
                <w:ker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hint="eastAsia" w:ascii="宋体" w:hAnsi="宋体" w:eastAsia="宋体" w:cs="宋体"/>
                <w:color w:val="333333"/>
                <w:kern w:val="0"/>
                <w:sz w:val="20"/>
                <w:szCs w:val="20"/>
              </w:rPr>
              <w:t>公开数量</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对外公开总数量</w:t>
            </w:r>
          </w:p>
        </w:tc>
      </w:tr>
      <w:tr>
        <w:tblPrEx>
          <w:tblLayout w:type="fixed"/>
          <w:tblCellMar>
            <w:top w:w="0" w:type="dxa"/>
            <w:left w:w="108" w:type="dxa"/>
            <w:bottom w:w="0" w:type="dxa"/>
            <w:right w:w="108" w:type="dxa"/>
          </w:tblCellMar>
        </w:tblPrEx>
        <w:trPr>
          <w:trHeight w:val="523"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规章</w:t>
            </w: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0</w:t>
            </w:r>
          </w:p>
        </w:tc>
        <w:tc>
          <w:tcPr>
            <w:tcW w:w="12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0</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0</w:t>
            </w:r>
          </w:p>
        </w:tc>
      </w:tr>
      <w:tr>
        <w:tblPrEx>
          <w:tblLayout w:type="fixed"/>
          <w:tblCellMar>
            <w:top w:w="0" w:type="dxa"/>
            <w:left w:w="108" w:type="dxa"/>
            <w:bottom w:w="0" w:type="dxa"/>
            <w:right w:w="108" w:type="dxa"/>
          </w:tblCellMar>
        </w:tblPrEx>
        <w:trPr>
          <w:trHeight w:val="471"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规范性文件</w:t>
            </w:r>
          </w:p>
        </w:tc>
        <w:tc>
          <w:tcPr>
            <w:tcW w:w="20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4</w:t>
            </w:r>
          </w:p>
        </w:tc>
        <w:tc>
          <w:tcPr>
            <w:tcW w:w="1271"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4</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12</w:t>
            </w:r>
          </w:p>
        </w:tc>
      </w:tr>
      <w:tr>
        <w:tblPrEx>
          <w:tblLayout w:type="fixed"/>
          <w:tblCellMar>
            <w:top w:w="0" w:type="dxa"/>
            <w:left w:w="108" w:type="dxa"/>
            <w:bottom w:w="0" w:type="dxa"/>
            <w:right w:w="108" w:type="dxa"/>
          </w:tblCellMar>
        </w:tblPrEx>
        <w:trPr>
          <w:trHeight w:val="480"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第二十条第（五）项</w:t>
            </w:r>
          </w:p>
        </w:tc>
      </w:tr>
      <w:tr>
        <w:tblPrEx>
          <w:tblLayout w:type="fixed"/>
          <w:tblCellMar>
            <w:top w:w="0" w:type="dxa"/>
            <w:left w:w="108" w:type="dxa"/>
            <w:bottom w:w="0" w:type="dxa"/>
            <w:right w:w="108" w:type="dxa"/>
          </w:tblCellMar>
        </w:tblPrEx>
        <w:trPr>
          <w:trHeight w:val="634"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本年增/减</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处理决定数量</w:t>
            </w:r>
          </w:p>
        </w:tc>
      </w:tr>
      <w:tr>
        <w:tblPrEx>
          <w:tblLayout w:type="fixed"/>
          <w:tblCellMar>
            <w:top w:w="0" w:type="dxa"/>
            <w:left w:w="108" w:type="dxa"/>
            <w:bottom w:w="0" w:type="dxa"/>
            <w:right w:w="108" w:type="dxa"/>
          </w:tblCellMar>
        </w:tblPrEx>
        <w:trPr>
          <w:trHeight w:val="528"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行政许可</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150</w:t>
            </w:r>
          </w:p>
        </w:tc>
        <w:tc>
          <w:tcPr>
            <w:tcW w:w="12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-5</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1417</w:t>
            </w:r>
          </w:p>
        </w:tc>
      </w:tr>
      <w:tr>
        <w:tblPrEx>
          <w:tblLayout w:type="fixed"/>
          <w:tblCellMar>
            <w:top w:w="0" w:type="dxa"/>
            <w:left w:w="108" w:type="dxa"/>
            <w:bottom w:w="0" w:type="dxa"/>
            <w:right w:w="108" w:type="dxa"/>
          </w:tblCellMar>
        </w:tblPrEx>
        <w:trPr>
          <w:trHeight w:val="550"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其他对外管理服务事项</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719</w:t>
            </w:r>
          </w:p>
        </w:tc>
        <w:tc>
          <w:tcPr>
            <w:tcW w:w="12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240</w:t>
            </w:r>
          </w:p>
        </w:tc>
      </w:tr>
      <w:tr>
        <w:tblPrEx>
          <w:tblLayout w:type="fixed"/>
          <w:tblCellMar>
            <w:top w:w="0" w:type="dxa"/>
            <w:left w:w="108" w:type="dxa"/>
            <w:bottom w:w="0" w:type="dxa"/>
            <w:right w:w="108" w:type="dxa"/>
          </w:tblCellMar>
        </w:tblPrEx>
        <w:trPr>
          <w:trHeight w:val="406"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第二十条第（六）项</w:t>
            </w:r>
          </w:p>
        </w:tc>
      </w:tr>
      <w:tr>
        <w:tblPrEx>
          <w:tblLayout w:type="fixed"/>
          <w:tblCellMar>
            <w:top w:w="0" w:type="dxa"/>
            <w:left w:w="108" w:type="dxa"/>
            <w:bottom w:w="0" w:type="dxa"/>
            <w:right w:w="108" w:type="dxa"/>
          </w:tblCellMar>
        </w:tblPrEx>
        <w:trPr>
          <w:trHeight w:val="634"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信息内容</w:t>
            </w:r>
          </w:p>
        </w:tc>
        <w:tc>
          <w:tcPr>
            <w:tcW w:w="20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本年增/减</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处理决定数量</w:t>
            </w:r>
          </w:p>
        </w:tc>
      </w:tr>
      <w:tr>
        <w:tblPrEx>
          <w:tblLayout w:type="fixed"/>
          <w:tblCellMar>
            <w:top w:w="0" w:type="dxa"/>
            <w:left w:w="108" w:type="dxa"/>
            <w:bottom w:w="0" w:type="dxa"/>
            <w:right w:w="108" w:type="dxa"/>
          </w:tblCellMar>
        </w:tblPrEx>
        <w:trPr>
          <w:trHeight w:val="430"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行政处罚</w:t>
            </w:r>
          </w:p>
        </w:tc>
        <w:tc>
          <w:tcPr>
            <w:tcW w:w="207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1493</w:t>
            </w:r>
          </w:p>
        </w:tc>
        <w:tc>
          <w:tcPr>
            <w:tcW w:w="12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-18</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281</w:t>
            </w:r>
          </w:p>
        </w:tc>
      </w:tr>
      <w:tr>
        <w:tblPrEx>
          <w:tblLayout w:type="fixed"/>
          <w:tblCellMar>
            <w:top w:w="0" w:type="dxa"/>
            <w:left w:w="108" w:type="dxa"/>
            <w:bottom w:w="0" w:type="dxa"/>
            <w:right w:w="108" w:type="dxa"/>
          </w:tblCellMar>
        </w:tblPrEx>
        <w:trPr>
          <w:trHeight w:val="409"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行政强制</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68</w:t>
            </w:r>
          </w:p>
        </w:tc>
        <w:tc>
          <w:tcPr>
            <w:tcW w:w="12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1</w:t>
            </w:r>
          </w:p>
        </w:tc>
        <w:tc>
          <w:tcPr>
            <w:tcW w:w="2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0</w:t>
            </w:r>
          </w:p>
        </w:tc>
      </w:tr>
      <w:tr>
        <w:tblPrEx>
          <w:tblLayout w:type="fixed"/>
          <w:tblCellMar>
            <w:top w:w="0" w:type="dxa"/>
            <w:left w:w="108" w:type="dxa"/>
            <w:bottom w:w="0" w:type="dxa"/>
            <w:right w:w="108" w:type="dxa"/>
          </w:tblCellMar>
        </w:tblPrEx>
        <w:trPr>
          <w:trHeight w:val="474"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第二十条第（八）项</w:t>
            </w:r>
          </w:p>
        </w:tc>
      </w:tr>
      <w:tr>
        <w:tblPrEx>
          <w:tblLayout w:type="fixed"/>
          <w:tblCellMar>
            <w:top w:w="0" w:type="dxa"/>
            <w:left w:w="108" w:type="dxa"/>
            <w:bottom w:w="0" w:type="dxa"/>
            <w:right w:w="108" w:type="dxa"/>
          </w:tblCellMar>
        </w:tblPrEx>
        <w:trPr>
          <w:trHeight w:val="270"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信息内容</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上一年项目数量</w:t>
            </w:r>
          </w:p>
        </w:tc>
        <w:tc>
          <w:tcPr>
            <w:tcW w:w="339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本年增/减</w:t>
            </w:r>
          </w:p>
        </w:tc>
      </w:tr>
      <w:tr>
        <w:tblPrEx>
          <w:tblLayout w:type="fixed"/>
          <w:tblCellMar>
            <w:top w:w="0" w:type="dxa"/>
            <w:left w:w="108" w:type="dxa"/>
            <w:bottom w:w="0" w:type="dxa"/>
            <w:right w:w="108" w:type="dxa"/>
          </w:tblCellMar>
        </w:tblPrEx>
        <w:trPr>
          <w:trHeight w:val="551"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行政事业性收费</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7</w:t>
            </w:r>
          </w:p>
        </w:tc>
        <w:tc>
          <w:tcPr>
            <w:tcW w:w="339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3</w:t>
            </w:r>
          </w:p>
        </w:tc>
      </w:tr>
      <w:tr>
        <w:tblPrEx>
          <w:tblLayout w:type="fixed"/>
          <w:tblCellMar>
            <w:top w:w="0" w:type="dxa"/>
            <w:left w:w="108" w:type="dxa"/>
            <w:bottom w:w="0" w:type="dxa"/>
            <w:right w:w="108" w:type="dxa"/>
          </w:tblCellMar>
        </w:tblPrEx>
        <w:trPr>
          <w:trHeight w:val="476" w:hRule="atLeast"/>
          <w:jc w:val="center"/>
        </w:trPr>
        <w:tc>
          <w:tcPr>
            <w:tcW w:w="8843"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第二十条第（九）项</w:t>
            </w:r>
          </w:p>
        </w:tc>
      </w:tr>
      <w:tr>
        <w:tblPrEx>
          <w:tblLayout w:type="fixed"/>
          <w:tblCellMar>
            <w:top w:w="0" w:type="dxa"/>
            <w:left w:w="108" w:type="dxa"/>
            <w:bottom w:w="0" w:type="dxa"/>
            <w:right w:w="108" w:type="dxa"/>
          </w:tblCellMar>
        </w:tblPrEx>
        <w:trPr>
          <w:trHeight w:val="585"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信息内容</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采购项目数量</w:t>
            </w:r>
          </w:p>
        </w:tc>
        <w:tc>
          <w:tcPr>
            <w:tcW w:w="339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采购总金额</w:t>
            </w:r>
          </w:p>
        </w:tc>
      </w:tr>
      <w:tr>
        <w:tblPrEx>
          <w:tblLayout w:type="fixed"/>
          <w:tblCellMar>
            <w:top w:w="0" w:type="dxa"/>
            <w:left w:w="108" w:type="dxa"/>
            <w:bottom w:w="0" w:type="dxa"/>
            <w:right w:w="108" w:type="dxa"/>
          </w:tblCellMar>
        </w:tblPrEx>
        <w:trPr>
          <w:trHeight w:val="539" w:hRule="atLeast"/>
          <w:jc w:val="center"/>
        </w:trPr>
        <w:tc>
          <w:tcPr>
            <w:tcW w:w="337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olor w:val="333333"/>
                <w:kern w:val="0"/>
                <w:sz w:val="20"/>
                <w:szCs w:val="20"/>
              </w:rPr>
            </w:pPr>
            <w:r>
              <w:rPr>
                <w:rFonts w:hint="eastAsia" w:ascii="宋体" w:hAnsi="宋体" w:eastAsia="宋体" w:cs="宋体"/>
                <w:color w:val="000000"/>
                <w:kern w:val="0"/>
                <w:sz w:val="20"/>
                <w:szCs w:val="20"/>
              </w:rPr>
              <w:t>政府集中采购</w:t>
            </w:r>
          </w:p>
        </w:tc>
        <w:tc>
          <w:tcPr>
            <w:tcW w:w="2072"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75</w:t>
            </w:r>
          </w:p>
        </w:tc>
        <w:tc>
          <w:tcPr>
            <w:tcW w:w="339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lang w:val="en-US" w:eastAsia="zh-CN"/>
              </w:rPr>
              <w:t>2359.4197万元</w:t>
            </w:r>
          </w:p>
        </w:tc>
      </w:tr>
    </w:tbl>
    <w:p>
      <w:pPr>
        <w:widowControl/>
        <w:spacing w:line="576" w:lineRule="exact"/>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三、收到和处理政府信息公开申请情况</w:t>
      </w:r>
    </w:p>
    <w:tbl>
      <w:tblPr>
        <w:tblStyle w:val="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自然人</w:t>
            </w:r>
          </w:p>
        </w:tc>
        <w:tc>
          <w:tcPr>
            <w:tcW w:w="406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商业企业</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科研机构</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社会公益组织</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法律服务机构</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w:t>
            </w:r>
          </w:p>
        </w:tc>
        <w:tc>
          <w:tcPr>
            <w:tcW w:w="70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Calibri" w:hAnsi="Calibri"/>
                <w:color w:val="333333"/>
                <w:sz w:val="20"/>
                <w:szCs w:val="20"/>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Calibri" w:hAnsi="Calibri"/>
                <w:color w:val="333333"/>
                <w:sz w:val="20"/>
                <w:szCs w:val="20"/>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（一）予以公开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（三）不予公开</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1.属于国家秘密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3.危及“三安全一稳定”</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4.保护第三方合法权益</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5.属于三类内部事务信息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6.属于四类过程性信息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7.属于行政执法案卷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8.属于行政查询事项</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（四）无法提供</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（五）不予处理</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1.信访举报投诉类申请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2.重复申请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3.要求提供公开出版物</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（六）其他处理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楷体" w:hAnsi="楷体" w:eastAsia="楷体" w:cs="宋体"/>
                <w:color w:val="333333"/>
                <w:sz w:val="20"/>
                <w:szCs w:val="20"/>
              </w:rPr>
              <w:t>（七）总计</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r>
              <w:rPr>
                <w:rFonts w:hint="eastAsia" w:ascii="Calibri" w:hAnsi="Calibri"/>
                <w:color w:val="333333"/>
                <w:sz w:val="20"/>
                <w:szCs w:val="20"/>
              </w:rPr>
              <w:t>四、结转下年度继续办理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bl>
    <w:p>
      <w:pPr>
        <w:widowControl/>
        <w:spacing w:line="576" w:lineRule="exact"/>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四、政府信息公开行政复议、行政诉讼情况</w:t>
      </w:r>
    </w:p>
    <w:tbl>
      <w:tblPr>
        <w:tblStyle w:val="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宋体" w:hAnsi="宋体" w:cs="宋体"/>
                <w:color w:val="333333"/>
                <w:kern w:val="0"/>
                <w:szCs w:val="21"/>
                <w:lang w:val="en-US" w:eastAsia="zh-CN"/>
              </w:rPr>
              <w:t>0</w:t>
            </w:r>
          </w:p>
        </w:tc>
      </w:tr>
    </w:tbl>
    <w:p>
      <w:pPr>
        <w:widowControl/>
        <w:spacing w:line="576" w:lineRule="exact"/>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2020年，我县政府信息公开工作扎实开展，但仍存一些问题和不足，主要表现为：</w:t>
      </w:r>
      <w:r>
        <w:rPr>
          <w:rFonts w:hint="eastAsia" w:ascii="仿宋_GB2312" w:hAnsi="仿宋_GB2312" w:eastAsia="仿宋_GB2312" w:cs="仿宋_GB2312"/>
          <w:b/>
          <w:bCs/>
          <w:color w:val="333333"/>
          <w:kern w:val="0"/>
          <w:sz w:val="32"/>
          <w:szCs w:val="32"/>
          <w:lang w:val="en-US" w:eastAsia="zh-CN" w:bidi="ar-SA"/>
        </w:rPr>
        <w:t>一是学习研究不够细。</w:t>
      </w:r>
      <w:r>
        <w:rPr>
          <w:rFonts w:hint="eastAsia" w:ascii="仿宋_GB2312" w:hAnsi="仿宋_GB2312" w:eastAsia="仿宋_GB2312" w:cs="仿宋_GB2312"/>
          <w:color w:val="333333"/>
          <w:kern w:val="0"/>
          <w:sz w:val="32"/>
          <w:szCs w:val="32"/>
          <w:lang w:val="en-US" w:eastAsia="zh-CN" w:bidi="ar-SA"/>
        </w:rPr>
        <w:t>新版《中华人民共和国政府信息公开条例》出台后，没有结合工作认真细致研究条例内容，导致公开工作不够及时、不够全面。</w:t>
      </w:r>
      <w:r>
        <w:rPr>
          <w:rFonts w:hint="eastAsia" w:ascii="仿宋_GB2312" w:hAnsi="仿宋_GB2312" w:eastAsia="仿宋_GB2312" w:cs="仿宋_GB2312"/>
          <w:b/>
          <w:bCs/>
          <w:color w:val="333333"/>
          <w:kern w:val="0"/>
          <w:sz w:val="32"/>
          <w:szCs w:val="32"/>
          <w:lang w:val="en-US" w:eastAsia="zh-CN" w:bidi="ar-SA"/>
        </w:rPr>
        <w:t>二是思想认识不够高。</w:t>
      </w:r>
      <w:r>
        <w:rPr>
          <w:rFonts w:hint="eastAsia" w:ascii="仿宋_GB2312" w:hAnsi="仿宋_GB2312" w:eastAsia="仿宋_GB2312" w:cs="仿宋_GB2312"/>
          <w:color w:val="333333"/>
          <w:kern w:val="0"/>
          <w:sz w:val="32"/>
          <w:szCs w:val="32"/>
          <w:lang w:val="en-US" w:eastAsia="zh-CN" w:bidi="ar-SA"/>
        </w:rPr>
        <w:t>部分单位对政府信息公开工作的重视程度不够，担心公开后易被监督、被发现问题，不敢公开、不想公开。</w:t>
      </w:r>
      <w:r>
        <w:rPr>
          <w:rFonts w:hint="eastAsia" w:ascii="仿宋_GB2312" w:hAnsi="仿宋_GB2312" w:eastAsia="仿宋_GB2312" w:cs="仿宋_GB2312"/>
          <w:b/>
          <w:bCs/>
          <w:color w:val="333333"/>
          <w:kern w:val="0"/>
          <w:sz w:val="32"/>
          <w:szCs w:val="32"/>
          <w:lang w:val="en-US" w:eastAsia="zh-CN" w:bidi="ar-SA"/>
        </w:rPr>
        <w:t>三是主动性不够强。</w:t>
      </w:r>
      <w:r>
        <w:rPr>
          <w:rFonts w:hint="eastAsia" w:ascii="仿宋_GB2312" w:hAnsi="仿宋_GB2312" w:eastAsia="仿宋_GB2312" w:cs="仿宋_GB2312"/>
          <w:color w:val="333333"/>
          <w:kern w:val="0"/>
          <w:sz w:val="32"/>
          <w:szCs w:val="32"/>
          <w:lang w:val="en-US" w:eastAsia="zh-CN" w:bidi="ar-SA"/>
        </w:rPr>
        <w:t>少数单位存在“被动公开”的现象，不督促不通报不公开，通报一个问题改一个问题，不能举一反三，积极主动地做好公开工作。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下一步，我县将严格按照《中华人民共和国政府信息公开条例》和自治区、市政府关于政府信息公开工作的各项要求，进一步规范工作程序，创新工作方式，克服不足。</w:t>
      </w:r>
      <w:r>
        <w:rPr>
          <w:rFonts w:hint="eastAsia" w:ascii="仿宋_GB2312" w:hAnsi="仿宋_GB2312" w:eastAsia="仿宋_GB2312" w:cs="仿宋_GB2312"/>
          <w:b/>
          <w:bCs/>
          <w:color w:val="333333"/>
          <w:kern w:val="0"/>
          <w:sz w:val="32"/>
          <w:szCs w:val="32"/>
          <w:lang w:val="en-US" w:eastAsia="zh-CN" w:bidi="ar-SA"/>
        </w:rPr>
        <w:t>一是进一步规范公开内容。</w:t>
      </w:r>
      <w:r>
        <w:rPr>
          <w:rFonts w:hint="eastAsia" w:ascii="仿宋_GB2312" w:hAnsi="仿宋_GB2312" w:eastAsia="仿宋_GB2312" w:cs="仿宋_GB2312"/>
          <w:color w:val="333333"/>
          <w:kern w:val="0"/>
          <w:sz w:val="32"/>
          <w:szCs w:val="32"/>
          <w:lang w:val="en-US" w:eastAsia="zh-CN" w:bidi="ar-SA"/>
        </w:rPr>
        <w:t>要求各单位严格按照《条例》的要求，遵循“先审查、后公开”的原则。对公开的政府信息，确保信息要素齐全，内容完整、准确，不发布失真和有歧义的信息。</w:t>
      </w:r>
      <w:r>
        <w:rPr>
          <w:rFonts w:hint="eastAsia" w:ascii="仿宋_GB2312" w:hAnsi="仿宋_GB2312" w:eastAsia="仿宋_GB2312" w:cs="仿宋_GB2312"/>
          <w:b/>
          <w:bCs/>
          <w:color w:val="333333"/>
          <w:kern w:val="0"/>
          <w:sz w:val="32"/>
          <w:szCs w:val="32"/>
          <w:lang w:val="en-US" w:eastAsia="zh-CN" w:bidi="ar-SA"/>
        </w:rPr>
        <w:t>二是继续完善长效工作机制。</w:t>
      </w:r>
      <w:r>
        <w:rPr>
          <w:rFonts w:hint="eastAsia" w:ascii="仿宋_GB2312" w:hAnsi="仿宋_GB2312" w:eastAsia="仿宋_GB2312" w:cs="仿宋_GB2312"/>
          <w:color w:val="333333"/>
          <w:kern w:val="0"/>
          <w:sz w:val="32"/>
          <w:szCs w:val="32"/>
          <w:lang w:val="en-US" w:eastAsia="zh-CN" w:bidi="ar-SA"/>
        </w:rPr>
        <w:t>在目前政府信息公开工作基础上，不断总结经验，在公开内容、公开渠道、实施步骤、工作要求等方面规定明细，确保政府信息公开工作制度化、规范化运行。</w:t>
      </w:r>
      <w:r>
        <w:rPr>
          <w:rFonts w:hint="eastAsia" w:ascii="仿宋_GB2312" w:hAnsi="仿宋_GB2312" w:eastAsia="仿宋_GB2312" w:cs="仿宋_GB2312"/>
          <w:b/>
          <w:bCs/>
          <w:color w:val="333333"/>
          <w:kern w:val="0"/>
          <w:sz w:val="32"/>
          <w:szCs w:val="32"/>
          <w:lang w:val="en-US" w:eastAsia="zh-CN" w:bidi="ar-SA"/>
        </w:rPr>
        <w:t>三是继续加大培训力度。</w:t>
      </w:r>
      <w:r>
        <w:rPr>
          <w:rFonts w:hint="eastAsia" w:ascii="仿宋_GB2312" w:hAnsi="仿宋_GB2312" w:eastAsia="仿宋_GB2312" w:cs="仿宋_GB2312"/>
          <w:color w:val="333333"/>
          <w:kern w:val="0"/>
          <w:sz w:val="32"/>
          <w:szCs w:val="32"/>
          <w:lang w:val="en-US" w:eastAsia="zh-CN" w:bidi="ar-SA"/>
        </w:rPr>
        <w:t>加大对政府信息公开制度的宣传以及对乡镇、各单位工作人员政府信息公开业务培训力度，让工作人员熟悉政府信息公开各项规章制度和工作流程。</w:t>
      </w:r>
    </w:p>
    <w:p>
      <w:pPr>
        <w:widowControl/>
        <w:spacing w:line="576" w:lineRule="exact"/>
        <w:ind w:firstLine="48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rPr>
        <w:t>六、其他需要报告的事项</w:t>
      </w:r>
    </w:p>
    <w:p>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lang w:eastAsia="zh-CN"/>
        </w:rPr>
        <w:t>无</w:t>
      </w:r>
    </w:p>
    <w:p>
      <w:pPr>
        <w:spacing w:line="540" w:lineRule="exact"/>
        <w:rPr>
          <w:rFonts w:ascii="方正仿宋_GBK" w:eastAsia="方正仿宋_GBK"/>
          <w:sz w:val="32"/>
          <w:szCs w:val="32"/>
        </w:rPr>
      </w:pP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附件：政府信息公开情况统计表</w:t>
      </w:r>
    </w:p>
    <w:p>
      <w:pPr>
        <w:spacing w:line="540" w:lineRule="exact"/>
        <w:rPr>
          <w:rFonts w:hint="eastAsia" w:ascii="仿宋_GB2312" w:hAnsi="仿宋_GB2312" w:eastAsia="仿宋_GB2312" w:cs="仿宋_GB2312"/>
          <w:sz w:val="32"/>
          <w:szCs w:val="32"/>
        </w:rPr>
      </w:pPr>
    </w:p>
    <w:p>
      <w:pPr>
        <w:spacing w:line="540" w:lineRule="exact"/>
        <w:rPr>
          <w:rFonts w:hint="eastAsia" w:ascii="仿宋_GB2312" w:hAnsi="仿宋_GB2312" w:eastAsia="仿宋_GB2312" w:cs="仿宋_GB2312"/>
          <w:sz w:val="32"/>
          <w:szCs w:val="32"/>
        </w:rPr>
      </w:pPr>
    </w:p>
    <w:p>
      <w:pPr>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工布江达县人民政府办公室</w:t>
      </w:r>
    </w:p>
    <w:p>
      <w:pPr>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2021年2月8日</w:t>
      </w:r>
    </w:p>
    <w:p>
      <w:pPr>
        <w:spacing w:line="540" w:lineRule="exact"/>
        <w:ind w:firstLine="3520" w:firstLineChars="1100"/>
        <w:rPr>
          <w:rFonts w:hint="eastAsia" w:ascii="仿宋_GB2312" w:hAnsi="仿宋_GB2312" w:eastAsia="仿宋_GB2312" w:cs="仿宋_GB2312"/>
          <w:sz w:val="32"/>
          <w:szCs w:val="32"/>
        </w:rPr>
      </w:pPr>
    </w:p>
    <w:p>
      <w:pPr/>
    </w:p>
    <w:sectPr>
      <w:footerReference r:id="rId3" w:type="default"/>
      <w:footerReference r:id="rId4" w:type="even"/>
      <w:pgSz w:w="11906" w:h="16838"/>
      <w:pgMar w:top="2098" w:right="1588"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02624"/>
    <w:rsid w:val="02986EB5"/>
    <w:rsid w:val="1319372A"/>
    <w:rsid w:val="20E733B5"/>
    <w:rsid w:val="26CC01F5"/>
    <w:rsid w:val="2B4847DD"/>
    <w:rsid w:val="2C770324"/>
    <w:rsid w:val="2D2E5B41"/>
    <w:rsid w:val="2FF2082E"/>
    <w:rsid w:val="35012CE6"/>
    <w:rsid w:val="41A32100"/>
    <w:rsid w:val="43E67A1F"/>
    <w:rsid w:val="459553CE"/>
    <w:rsid w:val="5DE10732"/>
    <w:rsid w:val="611B31B5"/>
    <w:rsid w:val="6B32282F"/>
    <w:rsid w:val="750026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2021-02-05T08:45:00Z</dcterms:created>
  <dc:creator>Administrator</dc:creator>
  <cp:lastModifiedBy>Administrator</cp:lastModifiedBy>
  <dcterms:modified xsi:type="dcterms:W3CDTF">2021-02-09T09:42:44Z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KSOSaveFontToCloudKey">
    <vt:lpwstr>261518639_btnclosed</vt:lpwstr>
  </property>
</Properties>
</file>